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p-earnings-predictions--2026-07-23"/>
    <w:p>
      <w:pPr>
        <w:pStyle w:val="Heading1"/>
      </w:pPr>
      <w:r>
        <w:t xml:space="preserve">AMP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Wealth Mgmt wrap/client net flows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Core/same-store organic (ex-Comerica)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~4-5% vs. cons ~4-5%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 Management net flows trajectory (Q2)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6B (2026Q2)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 Management pretax margin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~42-44% vs. cons ~40%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payout ratio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~85-90% vs. cons ~87%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RPS quarterly earnings run-rate (Q2)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(2026Q2)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ran ~18% (from ~</w:t>
            </w:r>
            <m:oMath>
              <m:r>
                <m:t>447</m:t>
              </m:r>
              <m:r>
                <m:t>l</m:t>
              </m:r>
              <m:r>
                <m:t>a</m:t>
              </m:r>
              <m:r>
                <m:t>t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527) into the print, so a well-telegraphed headline EPS/revenue beat is largely priced. Optically weak wrap flows from the accelerating Comerica runoff (Q2/Q3) keep the flow narrative messy, and the implicit out-period math (elevated recruiting attrition, coming spread compression as Fed cuts) pulls forward estimate trims even on a beat. Rich valuation back near highs leaves little cushion, favoring a sell-the-news fade over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2026-07-23T01:42:39Z</dcterms:created>
  <dcterms:modified xsi:type="dcterms:W3CDTF">2026-07-23T01:42:39Z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