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p-earnings-predictions--2026-07-23"/>
    <w:p>
      <w:pPr>
        <w:pStyle w:val="Heading1"/>
      </w:pPr>
      <w:r>
        <w:t xml:space="preserve">AMP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11.30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10.75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4.86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4.79B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AWM Total Client Net Flows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AWM Organic Growth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~3% vs. cons ~4-5%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Payout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~87% vs. cons ~85-90% (Q3-Q4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Effective Tax Rate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~21% vs. cons ~20-22%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-1.8% (FADE)</w:t>
            </w:r>
          </w:p>
        </w:tc>
        <w:tc>
          <w:tcPr/>
          <w:p>
            <w:pPr>
              <w:pStyle w:val="Compact"/>
            </w:pPr>
            <w:r>
              <w:t xml:space="preserve">Stock rallied ~7-8% into the print (490→527) pricing in another clean beat, so an in-line-to-modest EPS/revenue beat is largely discounted; the more market-moving headline (AWM net flows) likely disappoints on continued/accelerating Comerica attrition even though guided, prompting an initial muted-to-negative reaction. Over the following days, sell-side models likely trim out-period Asset Management segment margin assumptions back toward the 35-39% target range (from the unsustainable 43.8% run-rate) and push out full Huntington/Comerica net-flow benefit recognition to Q4, creating incremental negative revisions to FY26/FY27 EPS despite the in-quarter beat — consistent with a fade rather than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2026-07-23T00:29:26Z</dcterms:created>
  <dcterms:modified xsi:type="dcterms:W3CDTF">2026-07-23T00:29:26Z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