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p-earnings-predictions--2026-07-23"/>
    <w:p>
      <w:pPr>
        <w:pStyle w:val="Heading1"/>
      </w:pPr>
      <w:r>
        <w:t xml:space="preserve">AMP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~$11.20 vs. cons $10.63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Advice &amp; Wealth Management wrap net flows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~$4.8B vs. cons $5.5B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Advice &amp; Wealth Management pretax 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~29.6% vs. cons 29.2%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effective tax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~20%-22% vs. cons 21.0%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returned as a percentage of operating earnings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~85%-90% vs. cons 87.5%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adjusted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~12%-15% vs. cons 13.5% (long term)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Advice &amp; Wealth Management organic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~4%-5% vs. cons 4.5% (long term)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-3.1% (FOLLOW-THROUGH)</w:t>
            </w:r>
          </w:p>
        </w:tc>
        <w:tc>
          <w:tcPr/>
          <w:p>
            <w:pPr>
              <w:pStyle w:val="Compact"/>
            </w:pPr>
            <w:r>
              <w:t xml:space="preserve">Predicted Q2 EPS of ~$11.20 vs.</w:t>
            </w:r>
            <w:r>
              <w:t xml:space="preserve"> </w:t>
            </w:r>
            <m:oMath>
              <m:r>
                <m:t>10.63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u</m:t>
              </m:r>
              <m:r>
                <m:t>n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t</m:t>
              </m:r>
              <m:r>
                <m:t>o</m:t>
              </m:r>
              <m:r>
                <m:t>l</m:t>
              </m:r>
              <m:r>
                <m:t>i</m:t>
              </m:r>
              <m:r>
                <m:t>f</m:t>
              </m:r>
              <m:r>
                <m:t>t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s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r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b</m:t>
              </m:r>
              <m:r>
                <m:t>e</m:t>
              </m:r>
              <m:r>
                <m:t>c</m:t>
              </m:r>
              <m:r>
                <m:t>a</m:t>
              </m:r>
              <m:r>
                <m:t>u</m:t>
              </m:r>
              <m:r>
                <m:t>s</m:t>
              </m:r>
              <m:r>
                <m:t>e</m:t>
              </m:r>
              <m:r>
                <m:t>w</m:t>
              </m:r>
              <m:r>
                <m:t>r</m:t>
              </m:r>
              <m:r>
                <m:t>a</m:t>
              </m:r>
              <m:r>
                <m:t>p</m:t>
              </m:r>
              <m:r>
                <m:t>f</m:t>
              </m:r>
              <m:r>
                <m:t>l</m:t>
              </m:r>
              <m:r>
                <m:t>o</m:t>
              </m:r>
              <m:r>
                <m:t>w</m:t>
              </m:r>
              <m:r>
                <m:t>s</m:t>
              </m:r>
              <m:r>
                <m:t>a</m:t>
              </m:r>
              <m:r>
                <m:t>r</m:t>
              </m:r>
              <m:r>
                <m:t>e</m:t>
              </m:r>
              <m:r>
                <m:t>p</m:t>
              </m:r>
              <m:r>
                <m:t>r</m:t>
              </m:r>
              <m:r>
                <m:t>e</m:t>
              </m:r>
              <m:r>
                <m:t>d</m:t>
              </m:r>
              <m:r>
                <m:t>i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t>a</m:t>
              </m:r>
              <m:r>
                <m:t>t</m:t>
              </m:r>
              <m:r>
                <m:t> </m:t>
              </m:r>
            </m:oMath>
            <w:r>
              <w:t xml:space="preserve">4.8B vs. $5.5B consensus, guidance remains unchanged, and the pre-report rally raises the bar; therefore the predicted day-1 residual of -2.4% extends to a -3.1% five-day residual.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2026-07-23T00:26:58Z</dcterms:created>
  <dcterms:modified xsi:type="dcterms:W3CDTF">2026-07-23T00:26:58Z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