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Ameriprise Financial (AMP)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Ameriprise Financial, Inc.</w:t>
            </w:r>
          </w:p>
        </w:tc>
      </w:tr>
      <w:tr>
        <w:tc>
          <w:tcPr>
            <w:tcW w:type="dxa" w:w="4320"/>
          </w:tcPr>
          <w:p>
            <w:r>
              <w:rPr>
                <w:rFonts w:ascii="Calibri" w:hAnsi="Calibri"/>
                <w:b/>
                <w:sz w:val="22"/>
              </w:rPr>
              <w:t>Ticker</w:t>
            </w:r>
          </w:p>
        </w:tc>
        <w:tc>
          <w:tcPr>
            <w:tcW w:type="dxa" w:w="4320"/>
          </w:tcPr>
          <w:p>
            <w:r>
              <w:rPr>
                <w:rFonts w:ascii="Calibri" w:hAnsi="Calibri"/>
                <w:sz w:val="22"/>
              </w:rPr>
              <w:t>AMP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23, 2026 — Earnings Call 8:30 AM ET</w:t>
            </w:r>
          </w:p>
        </w:tc>
      </w:tr>
      <w:tr>
        <w:tc>
          <w:tcPr>
            <w:tcW w:type="dxa" w:w="4320"/>
          </w:tcPr>
          <w:p>
            <w:r>
              <w:rPr>
                <w:rFonts w:ascii="Calibri" w:hAnsi="Calibri"/>
                <w:b/>
                <w:sz w:val="22"/>
              </w:rPr>
              <w:t>Prepared</w:t>
            </w:r>
          </w:p>
        </w:tc>
        <w:tc>
          <w:tcPr>
            <w:tcW w:type="dxa" w:w="4320"/>
          </w:tcPr>
          <w:p>
            <w:r>
              <w:rPr>
                <w:rFonts w:ascii="Calibri" w:hAnsi="Calibri"/>
                <w:sz w:val="22"/>
              </w:rPr>
              <w:t>July 22, 2026</w:t>
            </w:r>
          </w:p>
        </w:tc>
      </w:tr>
      <w:tr>
        <w:tc>
          <w:tcPr>
            <w:tcW w:type="dxa" w:w="4320"/>
          </w:tcPr>
          <w:p>
            <w:r>
              <w:rPr>
                <w:rFonts w:ascii="Calibri" w:hAnsi="Calibri"/>
                <w:b/>
                <w:sz w:val="22"/>
              </w:rPr>
              <w:t>Primary Valuation KPI</w:t>
            </w:r>
          </w:p>
        </w:tc>
        <w:tc>
          <w:tcPr>
            <w:tcW w:type="dxa" w:w="4320"/>
          </w:tcPr>
          <w:p>
            <w:r>
              <w:rPr>
                <w:rFonts w:ascii="Calibri" w:hAnsi="Calibri"/>
                <w:sz w:val="22"/>
              </w:rPr>
              <w:t>Adjusted Operating EPS (P/E basis)</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modestly constructive — consensus EPS of $10.75 is a beatable bar given AMP's track record of double-digit beats, but the single biggest swing factor is whether Comerica-driven flow headwinds are worse than feared and whether management can credibly signal a Q4 Huntington inflection.</w:t>
      </w:r>
    </w:p>
    <w:p>
      <w:r>
        <w:rPr>
          <w:rFonts w:ascii="Calibri" w:hAnsi="Calibri"/>
          <w:color w:val="525866"/>
          <w:sz w:val="22"/>
        </w:rPr>
        <w:t xml:space="preserve">Heading into Q2 2026, the consensus bar for Ameriprise looks achievable but not easy. </w:t>
      </w:r>
      <w:r>
        <w:rPr>
          <w:rFonts w:ascii="Calibri" w:hAnsi="Calibri"/>
          <w:b/>
          <w:color w:val="525866"/>
          <w:sz w:val="22"/>
        </w:rPr>
        <w:t>Adjusted operating EPS consensus of $10.75</w:t>
      </w:r>
      <w:r>
        <w:rPr>
          <w:rFonts w:ascii="Calibri" w:hAnsi="Calibri"/>
          <w:color w:val="525866"/>
          <w:sz w:val="22"/>
        </w:rPr>
        <w:t xml:space="preserve"> (Visible Alpha) represents a modest step-up from Q1's record $11.26, though the sequential decline reflects the absence of the one-time $25M Comerica make-whole payment that boosted Q1 AWM earnings. The more important question is </w:t>
      </w:r>
      <w:r>
        <w:rPr>
          <w:rFonts w:ascii="Calibri" w:hAnsi="Calibri"/>
          <w:b/>
          <w:color w:val="525866"/>
          <w:sz w:val="22"/>
        </w:rPr>
        <w:t>client flows</w:t>
      </w:r>
      <w:r>
        <w:rPr>
          <w:rFonts w:ascii="Calibri" w:hAnsi="Calibri"/>
          <w:color w:val="525866"/>
          <w:sz w:val="22"/>
        </w:rPr>
        <w:t xml:space="preserve">: management explicitly guided for Comerica-related outflows to "accelerate" in Q2 and Q3 (total $18B in assets exiting by end of Q3), meaning reported net flows will again be depressed relative to the underlying organic run-rate. Estimate revisions have been modestly positive since the Q1 print — Q2 EPS consensus has drifted from $10.63 to $10.75 over the past 13 weeks, suggesting the Street has incrementally raised the bar on the back of strong market performance and peer read-throughs. The stock has rallied approximately </w:t>
      </w:r>
      <w:r>
        <w:rPr>
          <w:rFonts w:ascii="Calibri" w:hAnsi="Calibri"/>
          <w:b/>
          <w:color w:val="525866"/>
          <w:sz w:val="22"/>
        </w:rPr>
        <w:t>+14.6% since the Q1 earnings date</w:t>
      </w:r>
      <w:r>
        <w:rPr>
          <w:rFonts w:ascii="Calibri" w:hAnsi="Calibri"/>
          <w:color w:val="525866"/>
          <w:sz w:val="22"/>
        </w:rPr>
        <w:t xml:space="preserve"> (April 23 to July 22), outperforming XLF (+8.2%) and SPY (+5.5%), which means some beat is already priced in. The key wildcard is </w:t>
      </w:r>
      <w:r>
        <w:rPr>
          <w:rFonts w:ascii="Calibri" w:hAnsi="Calibri"/>
          <w:b/>
          <w:color w:val="525866"/>
          <w:sz w:val="22"/>
        </w:rPr>
        <w:t>adviser recruiting momentum</w:t>
      </w:r>
      <w:r>
        <w:rPr>
          <w:rFonts w:ascii="Calibri" w:hAnsi="Calibri"/>
          <w:color w:val="525866"/>
          <w:sz w:val="22"/>
        </w:rPr>
        <w:t>: management flagged a "pickup in activity" for Q2 at the last call, and any acceleration above the 61 advisers recruited in Q1 — combined with early Huntington onboarding signals — could be the catalyst that re-rates the stock toward its 52-week high.</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EPS of $10.75 is a low-to-moderate bar given AMP's consistent beat history, but </w:t>
      </w:r>
      <w:r>
        <w:rPr>
          <w:rFonts w:ascii="Calibri" w:hAnsi="Calibri"/>
          <w:b/>
          <w:color w:val="525866"/>
          <w:sz w:val="22"/>
        </w:rPr>
        <w:t>client flows are the bigger swing factor</w:t>
      </w:r>
      <w:r>
        <w:rPr>
          <w:rFonts w:ascii="Calibri" w:hAnsi="Calibri"/>
          <w:color w:val="525866"/>
          <w:sz w:val="22"/>
        </w:rPr>
        <w:t xml:space="preserve"> — the market will look through a modest EPS beat if Comerica outflows are worse than the ~$4–5B net flow consensus implies.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 vs. Guidance</w:t>
            </w:r>
          </w:p>
        </w:tc>
      </w:tr>
      <w:tr>
        <w:tc>
          <w:tcPr>
            <w:tcW w:type="dxa" w:w="1234"/>
          </w:tcPr>
          <w:p>
            <w:r>
              <w:rPr>
                <w:rFonts w:ascii="Calibri" w:hAnsi="Calibri"/>
                <w:sz w:val="22"/>
              </w:rPr>
              <w:t>Adj. Operating EPS ($)</w:t>
            </w:r>
          </w:p>
        </w:tc>
        <w:tc>
          <w:tcPr>
            <w:tcW w:type="dxa" w:w="1234"/>
          </w:tcPr>
          <w:p>
            <w:r>
              <w:rPr>
                <w:rFonts w:ascii="Calibri" w:hAnsi="Calibri"/>
                <w:sz w:val="22"/>
              </w:rPr>
              <w:t>$11.26</w:t>
            </w:r>
          </w:p>
        </w:tc>
        <w:tc>
          <w:tcPr>
            <w:tcW w:type="dxa" w:w="1234"/>
          </w:tcPr>
          <w:p>
            <w:r>
              <w:rPr>
                <w:rFonts w:ascii="Calibri" w:hAnsi="Calibri"/>
                <w:sz w:val="22"/>
              </w:rPr>
              <w:t>$9.11</w:t>
            </w:r>
          </w:p>
        </w:tc>
        <w:tc>
          <w:tcPr>
            <w:tcW w:type="dxa" w:w="1234"/>
          </w:tcPr>
          <w:p>
            <w:r>
              <w:rPr>
                <w:rFonts w:ascii="Calibri" w:hAnsi="Calibri"/>
                <w:sz w:val="22"/>
              </w:rPr>
              <w:t>$10.75</w:t>
            </w:r>
          </w:p>
        </w:tc>
        <w:tc>
          <w:tcPr>
            <w:tcW w:type="dxa" w:w="1234"/>
          </w:tcPr>
          <w:p>
            <w:r>
              <w:rPr>
                <w:rFonts w:ascii="Calibri" w:hAnsi="Calibri"/>
                <w:b/>
                <w:color w:val="30A46C"/>
                <w:sz w:val="22"/>
              </w:rPr>
              <w:t>+18.0%</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Total Operating Revenues ($B)</w:t>
            </w:r>
          </w:p>
        </w:tc>
        <w:tc>
          <w:tcPr>
            <w:tcW w:type="dxa" w:w="1234"/>
          </w:tcPr>
          <w:p>
            <w:r>
              <w:rPr>
                <w:rFonts w:ascii="Calibri" w:hAnsi="Calibri"/>
                <w:sz w:val="22"/>
              </w:rPr>
              <w:t>$4.85B</w:t>
            </w:r>
          </w:p>
        </w:tc>
        <w:tc>
          <w:tcPr>
            <w:tcW w:type="dxa" w:w="1234"/>
          </w:tcPr>
          <w:p>
            <w:r>
              <w:rPr>
                <w:rFonts w:ascii="Calibri" w:hAnsi="Calibri"/>
                <w:sz w:val="22"/>
              </w:rPr>
              <w:t>$4.45B</w:t>
            </w:r>
          </w:p>
        </w:tc>
        <w:tc>
          <w:tcPr>
            <w:tcW w:type="dxa" w:w="1234"/>
          </w:tcPr>
          <w:p>
            <w:r>
              <w:rPr>
                <w:rFonts w:ascii="Calibri" w:hAnsi="Calibri"/>
                <w:sz w:val="22"/>
              </w:rPr>
              <w:t>$4.88B</w:t>
            </w:r>
          </w:p>
        </w:tc>
        <w:tc>
          <w:tcPr>
            <w:tcW w:type="dxa" w:w="1234"/>
          </w:tcPr>
          <w:p>
            <w:r>
              <w:rPr>
                <w:rFonts w:ascii="Calibri" w:hAnsi="Calibri"/>
                <w:b/>
                <w:color w:val="30A46C"/>
                <w:sz w:val="22"/>
              </w:rPr>
              <w:t>+9.7%</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Total Client Assets — Ending ($T)</w:t>
            </w:r>
          </w:p>
        </w:tc>
        <w:tc>
          <w:tcPr>
            <w:tcW w:type="dxa" w:w="1234"/>
          </w:tcPr>
          <w:p>
            <w:r>
              <w:rPr>
                <w:rFonts w:ascii="Calibri" w:hAnsi="Calibri"/>
                <w:sz w:val="22"/>
              </w:rPr>
              <w:t>$1.149T</w:t>
            </w:r>
          </w:p>
        </w:tc>
        <w:tc>
          <w:tcPr>
            <w:tcW w:type="dxa" w:w="1234"/>
          </w:tcPr>
          <w:p>
            <w:r>
              <w:rPr>
                <w:rFonts w:ascii="Calibri" w:hAnsi="Calibri"/>
                <w:sz w:val="22"/>
              </w:rPr>
              <w:t>$1.084T</w:t>
            </w:r>
          </w:p>
        </w:tc>
        <w:tc>
          <w:tcPr>
            <w:tcW w:type="dxa" w:w="1234"/>
          </w:tcPr>
          <w:p>
            <w:r>
              <w:rPr>
                <w:rFonts w:ascii="Calibri" w:hAnsi="Calibri"/>
                <w:sz w:val="22"/>
              </w:rPr>
              <w:t>$1.221T</w:t>
            </w:r>
          </w:p>
        </w:tc>
        <w:tc>
          <w:tcPr>
            <w:tcW w:type="dxa" w:w="1234"/>
          </w:tcPr>
          <w:p>
            <w:r>
              <w:rPr>
                <w:rFonts w:ascii="Calibri" w:hAnsi="Calibri"/>
                <w:b/>
                <w:color w:val="30A46C"/>
                <w:sz w:val="22"/>
              </w:rPr>
              <w:t>+12.6%</w:t>
            </w:r>
          </w:p>
        </w:tc>
        <w:tc>
          <w:tcPr>
            <w:tcW w:type="dxa" w:w="1234"/>
          </w:tcPr>
          <w:p>
            <w:r>
              <w:rPr>
                <w:rFonts w:ascii="Calibri" w:hAnsi="Calibri"/>
                <w:sz w:val="22"/>
              </w:rPr>
              <w:t>No specific Q2 guidance provided</w:t>
            </w:r>
          </w:p>
        </w:tc>
        <w:tc>
          <w:tcPr>
            <w:tcW w:type="dxa" w:w="1234"/>
          </w:tcPr>
          <w:p>
            <w:r>
              <w:rPr>
                <w:rFonts w:ascii="Calibri" w:hAnsi="Calibri"/>
                <w:sz w:val="22"/>
              </w:rPr>
              <w:t>N/A</w:t>
            </w:r>
          </w:p>
        </w:tc>
      </w:tr>
      <w:tr>
        <w:tc>
          <w:tcPr>
            <w:tcW w:type="dxa" w:w="1234"/>
          </w:tcPr>
          <w:p>
            <w:r>
              <w:rPr>
                <w:rFonts w:ascii="Calibri" w:hAnsi="Calibri"/>
                <w:sz w:val="22"/>
              </w:rPr>
              <w:t>Total Client Net Flows ($B)</w:t>
            </w:r>
          </w:p>
        </w:tc>
        <w:tc>
          <w:tcPr>
            <w:tcW w:type="dxa" w:w="1234"/>
          </w:tcPr>
          <w:p>
            <w:r>
              <w:rPr>
                <w:rFonts w:ascii="Calibri" w:hAnsi="Calibri"/>
                <w:sz w:val="22"/>
              </w:rPr>
              <w:t>$4.2B</w:t>
            </w:r>
          </w:p>
        </w:tc>
        <w:tc>
          <w:tcPr>
            <w:tcW w:type="dxa" w:w="1234"/>
          </w:tcPr>
          <w:p>
            <w:r>
              <w:rPr>
                <w:rFonts w:ascii="Calibri" w:hAnsi="Calibri"/>
                <w:sz w:val="22"/>
              </w:rPr>
              <w:t>$4.3B</w:t>
            </w:r>
          </w:p>
        </w:tc>
        <w:tc>
          <w:tcPr>
            <w:tcW w:type="dxa" w:w="1234"/>
          </w:tcPr>
          <w:p>
            <w:r>
              <w:rPr>
                <w:rFonts w:ascii="Calibri" w:hAnsi="Calibri"/>
                <w:sz w:val="22"/>
              </w:rPr>
              <w:t>$3.7B</w:t>
            </w:r>
          </w:p>
        </w:tc>
        <w:tc>
          <w:tcPr>
            <w:tcW w:type="dxa" w:w="1234"/>
          </w:tcPr>
          <w:p>
            <w:r>
              <w:rPr>
                <w:rFonts w:ascii="Calibri" w:hAnsi="Calibri"/>
                <w:b/>
                <w:color w:val="E5484D"/>
                <w:sz w:val="22"/>
              </w:rPr>
              <w:t>-14.0%</w:t>
            </w:r>
          </w:p>
        </w:tc>
        <w:tc>
          <w:tcPr>
            <w:tcW w:type="dxa" w:w="1234"/>
          </w:tcPr>
          <w:p>
            <w:r>
              <w:rPr>
                <w:rFonts w:ascii="Calibri" w:hAnsi="Calibri"/>
                <w:sz w:val="22"/>
              </w:rPr>
              <w:t>Comerica outflows to accelerate in Q2/Q3; Huntington onboarding in Q4</w:t>
            </w:r>
          </w:p>
        </w:tc>
        <w:tc>
          <w:tcPr>
            <w:tcW w:type="dxa" w:w="1234"/>
          </w:tcPr>
          <w:p>
            <w:r>
              <w:rPr>
                <w:rFonts w:ascii="Calibri" w:hAnsi="Calibri"/>
                <w:sz w:val="22"/>
              </w:rPr>
              <w:t>N/A — no numeric guidance</w:t>
            </w:r>
          </w:p>
        </w:tc>
      </w:tr>
      <w:tr>
        <w:tc>
          <w:tcPr>
            <w:tcW w:type="dxa" w:w="1234"/>
          </w:tcPr>
          <w:p>
            <w:r>
              <w:rPr>
                <w:rFonts w:ascii="Calibri" w:hAnsi="Calibri"/>
                <w:sz w:val="22"/>
              </w:rPr>
              <w:t>Total Branded Advisers (#)</w:t>
            </w:r>
          </w:p>
        </w:tc>
        <w:tc>
          <w:tcPr>
            <w:tcW w:type="dxa" w:w="1234"/>
          </w:tcPr>
          <w:p>
            <w:r>
              <w:rPr>
                <w:rFonts w:ascii="Calibri" w:hAnsi="Calibri"/>
                <w:sz w:val="22"/>
              </w:rPr>
              <w:t>10,523</w:t>
            </w:r>
          </w:p>
        </w:tc>
        <w:tc>
          <w:tcPr>
            <w:tcW w:type="dxa" w:w="1234"/>
          </w:tcPr>
          <w:p>
            <w:r>
              <w:rPr>
                <w:rFonts w:ascii="Calibri" w:hAnsi="Calibri"/>
                <w:sz w:val="22"/>
              </w:rPr>
              <w:t>10,483</w:t>
            </w:r>
          </w:p>
        </w:tc>
        <w:tc>
          <w:tcPr>
            <w:tcW w:type="dxa" w:w="1234"/>
          </w:tcPr>
          <w:p>
            <w:r>
              <w:rPr>
                <w:rFonts w:ascii="Calibri" w:hAnsi="Calibri"/>
                <w:sz w:val="22"/>
              </w:rPr>
              <w:t>10,593</w:t>
            </w:r>
          </w:p>
        </w:tc>
        <w:tc>
          <w:tcPr>
            <w:tcW w:type="dxa" w:w="1234"/>
          </w:tcPr>
          <w:p>
            <w:r>
              <w:rPr>
                <w:rFonts w:ascii="Calibri" w:hAnsi="Calibri"/>
                <w:sz w:val="22"/>
              </w:rPr>
              <w:t>+1.0%</w:t>
            </w:r>
          </w:p>
        </w:tc>
        <w:tc>
          <w:tcPr>
            <w:tcW w:type="dxa" w:w="1234"/>
          </w:tcPr>
          <w:p>
            <w:r>
              <w:rPr>
                <w:rFonts w:ascii="Calibri" w:hAnsi="Calibri"/>
                <w:sz w:val="22"/>
              </w:rPr>
              <w:t>Recruiting pickup expected in Q2; disciplined TA spend</w:t>
            </w:r>
          </w:p>
        </w:tc>
        <w:tc>
          <w:tcPr>
            <w:tcW w:type="dxa" w:w="1234"/>
          </w:tcPr>
          <w:p>
            <w:r>
              <w:rPr>
                <w:rFonts w:ascii="Calibri" w:hAnsi="Calibri"/>
                <w:sz w:val="22"/>
              </w:rPr>
              <w:t>N/A — no numeric guidance</w:t>
            </w:r>
          </w:p>
        </w:tc>
      </w:tr>
      <w:tr>
        <w:tc>
          <w:tcPr>
            <w:tcW w:type="dxa" w:w="1234"/>
          </w:tcPr>
          <w:p>
            <w:r>
              <w:rPr>
                <w:rFonts w:ascii="Calibri" w:hAnsi="Calibri"/>
                <w:sz w:val="22"/>
              </w:rPr>
              <w:t>AWM Pretax Margin (%)</w:t>
            </w:r>
          </w:p>
        </w:tc>
        <w:tc>
          <w:tcPr>
            <w:tcW w:type="dxa" w:w="1234"/>
          </w:tcPr>
          <w:p>
            <w:r>
              <w:rPr>
                <w:rFonts w:ascii="Calibri" w:hAnsi="Calibri"/>
                <w:sz w:val="22"/>
              </w:rPr>
              <w:t>30.0%</w:t>
            </w:r>
          </w:p>
        </w:tc>
        <w:tc>
          <w:tcPr>
            <w:tcW w:type="dxa" w:w="1234"/>
          </w:tcPr>
          <w:p>
            <w:r>
              <w:rPr>
                <w:rFonts w:ascii="Calibri" w:hAnsi="Calibri"/>
                <w:sz w:val="22"/>
              </w:rPr>
              <w:t>~28%</w:t>
            </w:r>
          </w:p>
        </w:tc>
        <w:tc>
          <w:tcPr>
            <w:tcW w:type="dxa" w:w="1234"/>
          </w:tcPr>
          <w:p>
            <w:r>
              <w:rPr>
                <w:rFonts w:ascii="Calibri" w:hAnsi="Calibri"/>
                <w:sz w:val="22"/>
              </w:rPr>
              <w:t>N/A — not in VA</w:t>
            </w:r>
          </w:p>
        </w:tc>
        <w:tc>
          <w:tcPr>
            <w:tcW w:type="dxa" w:w="1234"/>
          </w:tcPr>
          <w:p>
            <w:r>
              <w:rPr>
                <w:rFonts w:ascii="Calibri" w:hAnsi="Calibri"/>
                <w:sz w:val="22"/>
              </w:rPr>
              <w:t>~+200 bps YoY</w:t>
            </w:r>
          </w:p>
        </w:tc>
        <w:tc>
          <w:tcPr>
            <w:tcW w:type="dxa" w:w="1234"/>
          </w:tcPr>
          <w:p>
            <w:r>
              <w:rPr>
                <w:rFonts w:ascii="Calibri" w:hAnsi="Calibri"/>
                <w:sz w:val="22"/>
              </w:rPr>
              <w:t>Maintain strong margins; expense discipline</w:t>
            </w:r>
          </w:p>
        </w:tc>
        <w:tc>
          <w:tcPr>
            <w:tcW w:type="dxa" w:w="1234"/>
          </w:tcPr>
          <w:p>
            <w:r>
              <w:rPr>
                <w:rFonts w:ascii="Calibri" w:hAnsi="Calibri"/>
                <w:sz w:val="22"/>
              </w:rPr>
              <w:t>N/A</w:t>
            </w:r>
          </w:p>
        </w:tc>
      </w:tr>
      <w:tr>
        <w:tc>
          <w:tcPr>
            <w:tcW w:type="dxa" w:w="1234"/>
          </w:tcPr>
          <w:p>
            <w:r>
              <w:rPr>
                <w:rFonts w:ascii="Calibri" w:hAnsi="Calibri"/>
                <w:sz w:val="22"/>
              </w:rPr>
              <w:t>Asset Mgmt Pretax Margin (%)</w:t>
            </w:r>
          </w:p>
        </w:tc>
        <w:tc>
          <w:tcPr>
            <w:tcW w:type="dxa" w:w="1234"/>
          </w:tcPr>
          <w:p>
            <w:r>
              <w:rPr>
                <w:rFonts w:ascii="Calibri" w:hAnsi="Calibri"/>
                <w:sz w:val="22"/>
              </w:rPr>
              <w:t>44%</w:t>
            </w:r>
          </w:p>
        </w:tc>
        <w:tc>
          <w:tcPr>
            <w:tcW w:type="dxa" w:w="1234"/>
          </w:tcPr>
          <w:p>
            <w:r>
              <w:rPr>
                <w:rFonts w:ascii="Calibri" w:hAnsi="Calibri"/>
                <w:sz w:val="22"/>
              </w:rPr>
              <w:t>~40%</w:t>
            </w:r>
          </w:p>
        </w:tc>
        <w:tc>
          <w:tcPr>
            <w:tcW w:type="dxa" w:w="1234"/>
          </w:tcPr>
          <w:p>
            <w:r>
              <w:rPr>
                <w:rFonts w:ascii="Calibri" w:hAnsi="Calibri"/>
                <w:sz w:val="22"/>
              </w:rPr>
              <w:t>N/A — not in VA</w:t>
            </w:r>
          </w:p>
        </w:tc>
        <w:tc>
          <w:tcPr>
            <w:tcW w:type="dxa" w:w="1234"/>
          </w:tcPr>
          <w:p>
            <w:r>
              <w:rPr>
                <w:rFonts w:ascii="Calibri" w:hAnsi="Calibri"/>
                <w:sz w:val="22"/>
              </w:rPr>
              <w:t>~+400 bps YoY</w:t>
            </w:r>
          </w:p>
        </w:tc>
        <w:tc>
          <w:tcPr>
            <w:tcW w:type="dxa" w:w="1234"/>
          </w:tcPr>
          <w:p>
            <w:r>
              <w:rPr>
                <w:rFonts w:ascii="Calibri" w:hAnsi="Calibri"/>
                <w:sz w:val="22"/>
              </w:rPr>
              <w:t>Target range 35–39%; above range in Q1</w:t>
            </w:r>
          </w:p>
        </w:tc>
        <w:tc>
          <w:tcPr>
            <w:tcW w:type="dxa" w:w="1234"/>
          </w:tcPr>
          <w:p>
            <w:r>
              <w:rPr>
                <w:rFonts w:ascii="Calibri" w:hAnsi="Calibri"/>
                <w:sz w:val="22"/>
              </w:rPr>
              <w:t>N/A</w:t>
            </w:r>
          </w:p>
        </w:tc>
      </w:tr>
      <w:tr>
        <w:tc>
          <w:tcPr>
            <w:tcW w:type="dxa" w:w="1234"/>
          </w:tcPr>
          <w:p>
            <w:r>
              <w:rPr>
                <w:rFonts w:ascii="Calibri" w:hAnsi="Calibri"/>
                <w:sz w:val="22"/>
              </w:rPr>
              <w:t>Adj. Operating ROE ex-AOCI (%)</w:t>
            </w:r>
          </w:p>
        </w:tc>
        <w:tc>
          <w:tcPr>
            <w:tcW w:type="dxa" w:w="1234"/>
          </w:tcPr>
          <w:p>
            <w:r>
              <w:rPr>
                <w:rFonts w:ascii="Calibri" w:hAnsi="Calibri"/>
                <w:sz w:val="22"/>
              </w:rPr>
              <w:t>54.3%</w:t>
            </w:r>
          </w:p>
        </w:tc>
        <w:tc>
          <w:tcPr>
            <w:tcW w:type="dxa" w:w="1234"/>
          </w:tcPr>
          <w:p>
            <w:r>
              <w:rPr>
                <w:rFonts w:ascii="Calibri" w:hAnsi="Calibri"/>
                <w:sz w:val="22"/>
              </w:rPr>
              <w:t>~50%</w:t>
            </w:r>
          </w:p>
        </w:tc>
        <w:tc>
          <w:tcPr>
            <w:tcW w:type="dxa" w:w="1234"/>
          </w:tcPr>
          <w:p>
            <w:r>
              <w:rPr>
                <w:rFonts w:ascii="Calibri" w:hAnsi="Calibri"/>
                <w:sz w:val="22"/>
              </w:rPr>
              <w:t>N/A — not in VA</w:t>
            </w:r>
          </w:p>
        </w:tc>
        <w:tc>
          <w:tcPr>
            <w:tcW w:type="dxa" w:w="1234"/>
          </w:tcPr>
          <w:p>
            <w:r>
              <w:rPr>
                <w:rFonts w:ascii="Calibri" w:hAnsi="Calibri"/>
                <w:sz w:val="22"/>
              </w:rPr>
              <w:t>~+400 bps YoY</w:t>
            </w:r>
          </w:p>
        </w:tc>
        <w:tc>
          <w:tcPr>
            <w:tcW w:type="dxa" w:w="1234"/>
          </w:tcPr>
          <w:p>
            <w:r>
              <w:rPr>
                <w:rFonts w:ascii="Calibri" w:hAnsi="Calibri"/>
                <w:sz w:val="22"/>
              </w:rPr>
              <w:t>Best-in-class; no specific target</w:t>
            </w:r>
          </w:p>
        </w:tc>
        <w:tc>
          <w:tcPr>
            <w:tcW w:type="dxa" w:w="1234"/>
          </w:tcPr>
          <w:p>
            <w:r>
              <w:rPr>
                <w:rFonts w:ascii="Calibri" w:hAnsi="Calibri"/>
                <w:sz w:val="22"/>
              </w:rPr>
              <w:t>N/A</w:t>
            </w:r>
          </w:p>
        </w:tc>
      </w:tr>
    </w:tbl>
    <w:p>
      <w:r>
        <w:rPr>
          <w:rFonts w:ascii="Calibri" w:hAnsi="Calibri"/>
          <w:i/>
          <w:color w:val="525866"/>
          <w:sz w:val="22"/>
        </w:rPr>
        <w:t>Source: Visible Alpha Consensus and Actuals Data; AMP Q1 2026 Earnings Release and Transcript. Actuals for Q1 2026 and Q2 2025 are reported figures. Q2 2026 consensus estimates as of July 22,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Adjusted Operating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$11.26</w:t>
            </w:r>
          </w:p>
        </w:tc>
        <w:tc>
          <w:tcPr>
            <w:tcW w:type="dxa" w:w="1728"/>
          </w:tcPr>
          <w:p>
            <w:r>
              <w:rPr>
                <w:rFonts w:ascii="Calibri" w:hAnsi="Calibri"/>
                <w:sz w:val="22"/>
              </w:rPr>
              <w:t>$10.19</w:t>
            </w:r>
          </w:p>
        </w:tc>
        <w:tc>
          <w:tcPr>
            <w:tcW w:type="dxa" w:w="1728"/>
          </w:tcPr>
          <w:p>
            <w:r>
              <w:rPr>
                <w:rFonts w:ascii="Calibri" w:hAnsi="Calibri"/>
                <w:b/>
                <w:color w:val="30A46C"/>
                <w:sz w:val="22"/>
              </w:rPr>
              <w:t>+10.5%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$10.83</w:t>
            </w:r>
          </w:p>
        </w:tc>
        <w:tc>
          <w:tcPr>
            <w:tcW w:type="dxa" w:w="1728"/>
          </w:tcPr>
          <w:p>
            <w:r>
              <w:rPr>
                <w:rFonts w:ascii="Calibri" w:hAnsi="Calibri"/>
                <w:sz w:val="22"/>
              </w:rPr>
              <w:t>$10.29</w:t>
            </w:r>
          </w:p>
        </w:tc>
        <w:tc>
          <w:tcPr>
            <w:tcW w:type="dxa" w:w="1728"/>
          </w:tcPr>
          <w:p>
            <w:r>
              <w:rPr>
                <w:rFonts w:ascii="Calibri" w:hAnsi="Calibri"/>
                <w:b/>
                <w:color w:val="30A46C"/>
                <w:sz w:val="22"/>
              </w:rPr>
              <w:t>+5.2%</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$9.87</w:t>
            </w:r>
          </w:p>
        </w:tc>
        <w:tc>
          <w:tcPr>
            <w:tcW w:type="dxa" w:w="1728"/>
          </w:tcPr>
          <w:p>
            <w:r>
              <w:rPr>
                <w:rFonts w:ascii="Calibri" w:hAnsi="Calibri"/>
                <w:sz w:val="22"/>
              </w:rPr>
              <w:t>$9.76</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$9.11</w:t>
            </w:r>
          </w:p>
        </w:tc>
        <w:tc>
          <w:tcPr>
            <w:tcW w:type="dxa" w:w="1728"/>
          </w:tcPr>
          <w:p>
            <w:r>
              <w:rPr>
                <w:rFonts w:ascii="Calibri" w:hAnsi="Calibri"/>
                <w:sz w:val="22"/>
              </w:rPr>
              <w:t>$8.97</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$9.50</w:t>
            </w:r>
          </w:p>
        </w:tc>
        <w:tc>
          <w:tcPr>
            <w:tcW w:type="dxa" w:w="1728"/>
          </w:tcPr>
          <w:p>
            <w:r>
              <w:rPr>
                <w:rFonts w:ascii="Calibri" w:hAnsi="Calibri"/>
                <w:sz w:val="22"/>
              </w:rPr>
              <w:t>$9.05</w:t>
            </w:r>
          </w:p>
        </w:tc>
        <w:tc>
          <w:tcPr>
            <w:tcW w:type="dxa" w:w="1728"/>
          </w:tcPr>
          <w:p>
            <w:r>
              <w:rPr>
                <w:rFonts w:ascii="Calibri" w:hAnsi="Calibri"/>
                <w:b/>
                <w:color w:val="30A46C"/>
                <w:sz w:val="22"/>
              </w:rPr>
              <w:t>+5.0%</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$9.36</w:t>
            </w:r>
          </w:p>
        </w:tc>
        <w:tc>
          <w:tcPr>
            <w:tcW w:type="dxa" w:w="1728"/>
          </w:tcPr>
          <w:p>
            <w:r>
              <w:rPr>
                <w:rFonts w:ascii="Calibri" w:hAnsi="Calibri"/>
                <w:sz w:val="22"/>
              </w:rPr>
              <w:t>$9.03</w:t>
            </w:r>
          </w:p>
        </w:tc>
        <w:tc>
          <w:tcPr>
            <w:tcW w:type="dxa" w:w="1728"/>
          </w:tcPr>
          <w:p>
            <w:r>
              <w:rPr>
                <w:rFonts w:ascii="Calibri" w:hAnsi="Calibri"/>
                <w:b/>
                <w:color w:val="30A46C"/>
                <w:sz w:val="22"/>
              </w:rPr>
              <w:t>+3.7%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$8.10</w:t>
            </w:r>
          </w:p>
        </w:tc>
        <w:tc>
          <w:tcPr>
            <w:tcW w:type="dxa" w:w="1728"/>
          </w:tcPr>
          <w:p>
            <w:r>
              <w:rPr>
                <w:rFonts w:ascii="Calibri" w:hAnsi="Calibri"/>
                <w:sz w:val="22"/>
              </w:rPr>
              <w:t>$8.91</w:t>
            </w:r>
          </w:p>
        </w:tc>
        <w:tc>
          <w:tcPr>
            <w:tcW w:type="dxa" w:w="1728"/>
          </w:tcPr>
          <w:p>
            <w:r>
              <w:rPr>
                <w:rFonts w:ascii="Calibri" w:hAnsi="Calibri"/>
                <w:b/>
                <w:color w:val="E5484D"/>
                <w:sz w:val="22"/>
              </w:rPr>
              <w:t>-9.1%</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KPI 2: Total Client Net Flows ($B)</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$4.2B</w:t>
            </w:r>
          </w:p>
        </w:tc>
        <w:tc>
          <w:tcPr>
            <w:tcW w:type="dxa" w:w="1728"/>
          </w:tcPr>
          <w:p>
            <w:r>
              <w:rPr>
                <w:rFonts w:ascii="Calibri" w:hAnsi="Calibri"/>
                <w:sz w:val="22"/>
              </w:rPr>
              <w:t>$9.1B</w:t>
            </w:r>
          </w:p>
        </w:tc>
        <w:tc>
          <w:tcPr>
            <w:tcW w:type="dxa" w:w="1728"/>
          </w:tcPr>
          <w:p>
            <w:r>
              <w:rPr>
                <w:rFonts w:ascii="Calibri" w:hAnsi="Calibri"/>
                <w:b/>
                <w:color w:val="E5484D"/>
                <w:sz w:val="22"/>
              </w:rPr>
              <w:t>-53.8%</w:t>
            </w:r>
          </w:p>
        </w:tc>
        <w:tc>
          <w:tcPr>
            <w:tcW w:type="dxa" w:w="1728"/>
          </w:tcPr>
          <w:p>
            <w:r>
              <w:rPr>
                <w:rFonts w:ascii="Calibri" w:hAnsi="Calibri"/>
                <w:sz w:val="22"/>
              </w:rPr>
              <w:t>Miss (Comerica)</w:t>
            </w:r>
          </w:p>
        </w:tc>
      </w:tr>
      <w:tr>
        <w:tc>
          <w:tcPr>
            <w:tcW w:type="dxa" w:w="1728"/>
          </w:tcPr>
          <w:p>
            <w:r>
              <w:rPr>
                <w:rFonts w:ascii="Calibri" w:hAnsi="Calibri"/>
                <w:sz w:val="22"/>
              </w:rPr>
              <w:t>Q4 2025</w:t>
            </w:r>
          </w:p>
        </w:tc>
        <w:tc>
          <w:tcPr>
            <w:tcW w:type="dxa" w:w="1728"/>
          </w:tcPr>
          <w:p>
            <w:r>
              <w:rPr>
                <w:rFonts w:ascii="Calibri" w:hAnsi="Calibri"/>
                <w:sz w:val="22"/>
              </w:rPr>
              <w:t>$13.3B</w:t>
            </w:r>
          </w:p>
        </w:tc>
        <w:tc>
          <w:tcPr>
            <w:tcW w:type="dxa" w:w="1728"/>
          </w:tcPr>
          <w:p>
            <w:r>
              <w:rPr>
                <w:rFonts w:ascii="Calibri" w:hAnsi="Calibri"/>
                <w:sz w:val="22"/>
              </w:rPr>
              <w:t>$7.4B</w:t>
            </w:r>
          </w:p>
        </w:tc>
        <w:tc>
          <w:tcPr>
            <w:tcW w:type="dxa" w:w="1728"/>
          </w:tcPr>
          <w:p>
            <w:r>
              <w:rPr>
                <w:rFonts w:ascii="Calibri" w:hAnsi="Calibri"/>
                <w:b/>
                <w:color w:val="30A46C"/>
                <w:sz w:val="22"/>
              </w:rPr>
              <w:t>+80.5%</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$3.4B</w:t>
            </w:r>
          </w:p>
        </w:tc>
        <w:tc>
          <w:tcPr>
            <w:tcW w:type="dxa" w:w="1728"/>
          </w:tcPr>
          <w:p>
            <w:r>
              <w:rPr>
                <w:rFonts w:ascii="Calibri" w:hAnsi="Calibri"/>
                <w:sz w:val="22"/>
              </w:rPr>
              <w:t>$8.4B</w:t>
            </w:r>
          </w:p>
        </w:tc>
        <w:tc>
          <w:tcPr>
            <w:tcW w:type="dxa" w:w="1728"/>
          </w:tcPr>
          <w:p>
            <w:r>
              <w:rPr>
                <w:rFonts w:ascii="Calibri" w:hAnsi="Calibri"/>
                <w:b/>
                <w:color w:val="E5484D"/>
                <w:sz w:val="22"/>
              </w:rPr>
              <w:t>-59.0%</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$4.3B</w:t>
            </w:r>
          </w:p>
        </w:tc>
        <w:tc>
          <w:tcPr>
            <w:tcW w:type="dxa" w:w="1728"/>
          </w:tcPr>
          <w:p>
            <w:r>
              <w:rPr>
                <w:rFonts w:ascii="Calibri" w:hAnsi="Calibri"/>
                <w:sz w:val="22"/>
              </w:rPr>
              <w:t>$8.7B</w:t>
            </w:r>
          </w:p>
        </w:tc>
        <w:tc>
          <w:tcPr>
            <w:tcW w:type="dxa" w:w="1728"/>
          </w:tcPr>
          <w:p>
            <w:r>
              <w:rPr>
                <w:rFonts w:ascii="Calibri" w:hAnsi="Calibri"/>
                <w:b/>
                <w:color w:val="E5484D"/>
                <w:sz w:val="22"/>
              </w:rPr>
              <w:t>-50.7%</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$10.3B</w:t>
            </w:r>
          </w:p>
        </w:tc>
        <w:tc>
          <w:tcPr>
            <w:tcW w:type="dxa" w:w="1728"/>
          </w:tcPr>
          <w:p>
            <w:r>
              <w:rPr>
                <w:rFonts w:ascii="Calibri" w:hAnsi="Calibri"/>
                <w:sz w:val="22"/>
              </w:rPr>
              <w:t>$9.9B</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$11.3B</w:t>
            </w:r>
          </w:p>
        </w:tc>
        <w:tc>
          <w:tcPr>
            <w:tcW w:type="dxa" w:w="1728"/>
          </w:tcPr>
          <w:p>
            <w:r>
              <w:rPr>
                <w:rFonts w:ascii="Calibri" w:hAnsi="Calibri"/>
                <w:sz w:val="22"/>
              </w:rPr>
              <w:t>$10.1B</w:t>
            </w:r>
          </w:p>
        </w:tc>
        <w:tc>
          <w:tcPr>
            <w:tcW w:type="dxa" w:w="1728"/>
          </w:tcPr>
          <w:p>
            <w:r>
              <w:rPr>
                <w:rFonts w:ascii="Calibri" w:hAnsi="Calibri"/>
                <w:b/>
                <w:color w:val="30A46C"/>
                <w:sz w:val="22"/>
              </w:rPr>
              <w:t>+11.7%</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$8.6B</w:t>
            </w:r>
          </w:p>
        </w:tc>
        <w:tc>
          <w:tcPr>
            <w:tcW w:type="dxa" w:w="1728"/>
          </w:tcPr>
          <w:p>
            <w:r>
              <w:rPr>
                <w:rFonts w:ascii="Calibri" w:hAnsi="Calibri"/>
                <w:sz w:val="22"/>
              </w:rPr>
              <w:t>$10.2B</w:t>
            </w:r>
          </w:p>
        </w:tc>
        <w:tc>
          <w:tcPr>
            <w:tcW w:type="dxa" w:w="1728"/>
          </w:tcPr>
          <w:p>
            <w:r>
              <w:rPr>
                <w:rFonts w:ascii="Calibri" w:hAnsi="Calibri"/>
                <w:b/>
                <w:color w:val="E5484D"/>
                <w:sz w:val="22"/>
              </w:rPr>
              <w:t>-15.7%</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N/A — not in VA</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i/>
          <w:color w:val="525866"/>
          <w:sz w:val="22"/>
        </w:rPr>
        <w:t>Source: Visible Alpha Consensus and Actuals Data. Consensus figures represent the latest available consensus at the time of each print.</w:t>
      </w:r>
    </w:p>
    <w:p>
      <w:r>
        <w:rPr>
          <w:rFonts w:ascii="Calibri" w:hAnsi="Calibri"/>
          <w:b/>
          <w:color w:val="525866"/>
          <w:sz w:val="22"/>
        </w:rPr>
        <w:t xml:space="preserve">Pattern: </w:t>
      </w:r>
      <w:r>
        <w:rPr>
          <w:rFonts w:ascii="Calibri" w:hAnsi="Calibri"/>
          <w:color w:val="525866"/>
          <w:sz w:val="22"/>
        </w:rPr>
        <w:t>AMP has beaten adjusted operating EPS in 6 of the last 7 reported quarters, with an average beat of ~+4% excluding the Q3 2024 miss. Client flows are structurally noisy due to bank partnership transitions (Comerica drag in Q1 2026, Q2 2025, Q3 2025) and lumpy recruiting; the Street has consistently over-estimated flows, making the consensus bar on this KPI less meaningful as a standalone signal.</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have been issued since the April 23 Q1 2026 earnings call. Management tone remains constructive on EPS and margins but explicitly cautious on near-term flows, with the Comerica wind-down and Huntington onboarding creating a well-telegraphed H1/H2 asymmetry.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Adj. Operating EPS — FY2026</w:t>
            </w:r>
          </w:p>
        </w:tc>
        <w:tc>
          <w:tcPr>
            <w:tcW w:type="dxa" w:w="1728"/>
          </w:tcPr>
          <w:p>
            <w:r>
              <w:rPr>
                <w:rFonts w:ascii="Calibri" w:hAnsi="Calibri"/>
                <w:sz w:val="22"/>
              </w:rPr>
              <w:t>No explicit FY EPS guidance; implied by segment guidance</w:t>
            </w:r>
          </w:p>
        </w:tc>
        <w:tc>
          <w:tcPr>
            <w:tcW w:type="dxa" w:w="1728"/>
          </w:tcPr>
          <w:p>
            <w:r>
              <w:rPr>
                <w:rFonts w:ascii="Calibri" w:hAnsi="Calibri"/>
                <w:sz w:val="22"/>
              </w:rPr>
              <w:t>—</w:t>
            </w:r>
          </w:p>
        </w:tc>
        <w:tc>
          <w:tcPr>
            <w:tcW w:type="dxa" w:w="1728"/>
          </w:tcPr>
          <w:p>
            <w:r>
              <w:rPr>
                <w:rFonts w:ascii="Calibri" w:hAnsi="Calibri"/>
                <w:sz w:val="22"/>
              </w:rPr>
              <w:t>$45.22</w:t>
            </w:r>
          </w:p>
        </w:tc>
        <w:tc>
          <w:tcPr>
            <w:tcW w:type="dxa" w:w="1728"/>
          </w:tcPr>
          <w:p>
            <w:r>
              <w:rPr>
                <w:rFonts w:ascii="Calibri" w:hAnsi="Calibri"/>
                <w:sz w:val="22"/>
              </w:rPr>
              <w:t>No post-earnings revision; consensus has drifted +2.4% since Q1 print</w:t>
            </w:r>
          </w:p>
        </w:tc>
      </w:tr>
      <w:tr>
        <w:tc>
          <w:tcPr>
            <w:tcW w:type="dxa" w:w="1728"/>
          </w:tcPr>
          <w:p>
            <w:r>
              <w:rPr>
                <w:rFonts w:ascii="Calibri" w:hAnsi="Calibri"/>
                <w:sz w:val="22"/>
              </w:rPr>
              <w:t>Client Net Flows — Q2/Q3 2026</w:t>
            </w:r>
          </w:p>
        </w:tc>
        <w:tc>
          <w:tcPr>
            <w:tcW w:type="dxa" w:w="1728"/>
          </w:tcPr>
          <w:p>
            <w:r>
              <w:rPr>
                <w:rFonts w:ascii="Calibri" w:hAnsi="Calibri"/>
                <w:sz w:val="22"/>
              </w:rPr>
              <w:t>Comerica outflows to "accelerate" in Q2 and Q3; all $18B out by end of Q3</w:t>
            </w:r>
          </w:p>
        </w:tc>
        <w:tc>
          <w:tcPr>
            <w:tcW w:type="dxa" w:w="1728"/>
          </w:tcPr>
          <w:p>
            <w:r>
              <w:rPr>
                <w:rFonts w:ascii="Calibri" w:hAnsi="Calibri"/>
                <w:sz w:val="22"/>
              </w:rPr>
              <w:t>—</w:t>
            </w:r>
          </w:p>
        </w:tc>
        <w:tc>
          <w:tcPr>
            <w:tcW w:type="dxa" w:w="1728"/>
          </w:tcPr>
          <w:p>
            <w:r>
              <w:rPr>
                <w:rFonts w:ascii="Calibri" w:hAnsi="Calibri"/>
                <w:sz w:val="22"/>
              </w:rPr>
              <w:t>$3.7B Q2 consensus</w:t>
            </w:r>
          </w:p>
        </w:tc>
        <w:tc>
          <w:tcPr>
            <w:tcW w:type="dxa" w:w="1728"/>
          </w:tcPr>
          <w:p>
            <w:r>
              <w:rPr>
                <w:rFonts w:ascii="Calibri" w:hAnsi="Calibri"/>
                <w:sz w:val="22"/>
              </w:rPr>
              <w:t>Unchanged; Street has already lowered flow bar to reflect Comerica drag</w:t>
            </w:r>
          </w:p>
        </w:tc>
      </w:tr>
      <w:tr>
        <w:tc>
          <w:tcPr>
            <w:tcW w:type="dxa" w:w="1728"/>
          </w:tcPr>
          <w:p>
            <w:r>
              <w:rPr>
                <w:rFonts w:ascii="Calibri" w:hAnsi="Calibri"/>
                <w:sz w:val="22"/>
              </w:rPr>
              <w:t>Huntington Bank Onboarding</w:t>
            </w:r>
          </w:p>
        </w:tc>
        <w:tc>
          <w:tcPr>
            <w:tcW w:type="dxa" w:w="1728"/>
          </w:tcPr>
          <w:p>
            <w:r>
              <w:rPr>
                <w:rFonts w:ascii="Calibri" w:hAnsi="Calibri"/>
                <w:sz w:val="22"/>
              </w:rPr>
              <w:t>~260 advisers + ~$28B assets; onboarding begins Q4 2026</w:t>
            </w:r>
          </w:p>
        </w:tc>
        <w:tc>
          <w:tcPr>
            <w:tcW w:type="dxa" w:w="1728"/>
          </w:tcPr>
          <w:p>
            <w:r>
              <w:rPr>
                <w:rFonts w:ascii="Calibri" w:hAnsi="Calibri"/>
                <w:sz w:val="22"/>
              </w:rPr>
              <w:t>—</w:t>
            </w:r>
          </w:p>
        </w:tc>
        <w:tc>
          <w:tcPr>
            <w:tcW w:type="dxa" w:w="1728"/>
          </w:tcPr>
          <w:p>
            <w:r>
              <w:rPr>
                <w:rFonts w:ascii="Calibri" w:hAnsi="Calibri"/>
                <w:sz w:val="22"/>
              </w:rPr>
              <w:t>N/A — not modeled separately</w:t>
            </w:r>
          </w:p>
        </w:tc>
        <w:tc>
          <w:tcPr>
            <w:tcW w:type="dxa" w:w="1728"/>
          </w:tcPr>
          <w:p>
            <w:r>
              <w:rPr>
                <w:rFonts w:ascii="Calibri" w:hAnsi="Calibri"/>
                <w:sz w:val="22"/>
              </w:rPr>
              <w:t>Unchanged; Q4 catalyst remains intact</w:t>
            </w:r>
          </w:p>
        </w:tc>
      </w:tr>
      <w:tr>
        <w:tc>
          <w:tcPr>
            <w:tcW w:type="dxa" w:w="1728"/>
          </w:tcPr>
          <w:p>
            <w:r>
              <w:rPr>
                <w:rFonts w:ascii="Calibri" w:hAnsi="Calibri"/>
                <w:sz w:val="22"/>
              </w:rPr>
              <w:t>AWM Pretax Margin</w:t>
            </w:r>
          </w:p>
        </w:tc>
        <w:tc>
          <w:tcPr>
            <w:tcW w:type="dxa" w:w="1728"/>
          </w:tcPr>
          <w:p>
            <w:r>
              <w:rPr>
                <w:rFonts w:ascii="Calibri" w:hAnsi="Calibri"/>
                <w:sz w:val="22"/>
              </w:rPr>
              <w:t>"Excellent" at 30%; targeting continued strength</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No change; management expects to maintain 29–30% range</w:t>
            </w:r>
          </w:p>
        </w:tc>
      </w:tr>
      <w:tr>
        <w:tc>
          <w:tcPr>
            <w:tcW w:type="dxa" w:w="1728"/>
          </w:tcPr>
          <w:p>
            <w:r>
              <w:rPr>
                <w:rFonts w:ascii="Calibri" w:hAnsi="Calibri"/>
                <w:sz w:val="22"/>
              </w:rPr>
              <w:t>Asset Mgmt Margin</w:t>
            </w:r>
          </w:p>
        </w:tc>
        <w:tc>
          <w:tcPr>
            <w:tcW w:type="dxa" w:w="1728"/>
          </w:tcPr>
          <w:p>
            <w:r>
              <w:rPr>
                <w:rFonts w:ascii="Calibri" w:hAnsi="Calibri"/>
                <w:sz w:val="22"/>
              </w:rPr>
              <w:t>44% in Q1; target range 35–39%; back-office transformation ongoing</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No change; above-target margin expected to normalize toward range over time</w:t>
            </w:r>
          </w:p>
        </w:tc>
      </w:tr>
      <w:tr>
        <w:tc>
          <w:tcPr>
            <w:tcW w:type="dxa" w:w="1728"/>
          </w:tcPr>
          <w:p>
            <w:r>
              <w:rPr>
                <w:rFonts w:ascii="Calibri" w:hAnsi="Calibri"/>
                <w:sz w:val="22"/>
              </w:rPr>
              <w:t>Capital Return — FY2026</w:t>
            </w:r>
          </w:p>
        </w:tc>
        <w:tc>
          <w:tcPr>
            <w:tcW w:type="dxa" w:w="1728"/>
          </w:tcPr>
          <w:p>
            <w:r>
              <w:rPr>
                <w:rFonts w:ascii="Calibri" w:hAnsi="Calibri"/>
                <w:sz w:val="22"/>
              </w:rPr>
              <w:t>85–90% of operating earnings; opportunistic buybacks at current P/E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No change; management signaled willingness to exceed 90% if stock remains at current valuation</w:t>
            </w:r>
          </w:p>
        </w:tc>
      </w:tr>
      <w:tr>
        <w:tc>
          <w:tcPr>
            <w:tcW w:type="dxa" w:w="1728"/>
          </w:tcPr>
          <w:p>
            <w:r>
              <w:rPr>
                <w:rFonts w:ascii="Calibri" w:hAnsi="Calibri"/>
                <w:sz w:val="22"/>
              </w:rPr>
              <w:t>Operating Tax Rate — FY2026</w:t>
            </w:r>
          </w:p>
        </w:tc>
        <w:tc>
          <w:tcPr>
            <w:tcW w:type="dxa" w:w="1728"/>
          </w:tcPr>
          <w:p>
            <w:r>
              <w:rPr>
                <w:rFonts w:ascii="Calibri" w:hAnsi="Calibri"/>
                <w:sz w:val="22"/>
              </w:rPr>
              <w:t>20–22%</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only explicit FY guidance provided</w:t>
            </w:r>
          </w:p>
        </w:tc>
      </w:tr>
      <w:tr>
        <w:tc>
          <w:tcPr>
            <w:tcW w:type="dxa" w:w="1728"/>
          </w:tcPr>
          <w:p>
            <w:r>
              <w:rPr>
                <w:rFonts w:ascii="Calibri" w:hAnsi="Calibri"/>
                <w:sz w:val="22"/>
              </w:rPr>
              <w:t>Adviser Recruiting</w:t>
            </w:r>
          </w:p>
        </w:tc>
        <w:tc>
          <w:tcPr>
            <w:tcW w:type="dxa" w:w="1728"/>
          </w:tcPr>
          <w:p>
            <w:r>
              <w:rPr>
                <w:rFonts w:ascii="Calibri" w:hAnsi="Calibri"/>
                <w:sz w:val="22"/>
              </w:rPr>
              <w:t>61 in Q1; "pickup in activity" expected in Q2; disciplined TA spend</w:t>
            </w:r>
          </w:p>
        </w:tc>
        <w:tc>
          <w:tcPr>
            <w:tcW w:type="dxa" w:w="1728"/>
          </w:tcPr>
          <w:p>
            <w:r>
              <w:rPr>
                <w:rFonts w:ascii="Calibri" w:hAnsi="Calibri"/>
                <w:sz w:val="22"/>
              </w:rPr>
              <w:t>—</w:t>
            </w:r>
          </w:p>
        </w:tc>
        <w:tc>
          <w:tcPr>
            <w:tcW w:type="dxa" w:w="1728"/>
          </w:tcPr>
          <w:p>
            <w:r>
              <w:rPr>
                <w:rFonts w:ascii="Calibri" w:hAnsi="Calibri"/>
                <w:sz w:val="22"/>
              </w:rPr>
              <w:t>10,593 total advisers (consensus)</w:t>
            </w:r>
          </w:p>
        </w:tc>
        <w:tc>
          <w:tcPr>
            <w:tcW w:type="dxa" w:w="1728"/>
          </w:tcPr>
          <w:p>
            <w:r>
              <w:rPr>
                <w:rFonts w:ascii="Calibri" w:hAnsi="Calibri"/>
                <w:sz w:val="22"/>
              </w:rPr>
              <w:t>No change; management explicitly restraining TA packages vs. competitors</w:t>
            </w:r>
          </w:p>
        </w:tc>
      </w:tr>
      <w:tr>
        <w:tc>
          <w:tcPr>
            <w:tcW w:type="dxa" w:w="1728"/>
          </w:tcPr>
          <w:p>
            <w:r>
              <w:rPr>
                <w:rFonts w:ascii="Calibri" w:hAnsi="Calibri"/>
                <w:sz w:val="22"/>
              </w:rPr>
              <w:t>Retirement &amp; Protection Earnings</w:t>
            </w:r>
          </w:p>
        </w:tc>
        <w:tc>
          <w:tcPr>
            <w:tcW w:type="dxa" w:w="1728"/>
          </w:tcPr>
          <w:p>
            <w:r>
              <w:rPr>
                <w:rFonts w:ascii="Calibri" w:hAnsi="Calibri"/>
                <w:sz w:val="22"/>
              </w:rPr>
              <w:t>~$800M per year over time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bl>
    <w:p>
      <w:r>
        <w:rPr>
          <w:rFonts w:ascii="Calibri" w:hAnsi="Calibri"/>
          <w:i/>
          <w:color w:val="525866"/>
          <w:sz w:val="22"/>
        </w:rPr>
        <w:t>Source: AMP Q1 2026 Earnings Call Transcript (April 23,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drifted modestly higher since the Q1 print, with Q2 EPS consensus up ~+1.1% and FY2026 EPS up ~+2.4% from the post-earnings baseline — a sign the Street is incrementally more constructive, likely driven by strong market performance and peer read-throughs. Estimates are tracking above the post-Q1 baseline, suggesting the bar has risen slightly.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 ~Apr 28 (Post-Q1 Baseline)</w:t>
            </w:r>
          </w:p>
        </w:tc>
        <w:tc>
          <w:tcPr>
            <w:tcW w:type="dxa" w:w="1080"/>
            <w:shd w:val="clear" w:color="auto" w:fill="3B4259"/>
          </w:tcPr>
          <w:p>
            <w:r>
              <w:rPr>
                <w:rFonts w:ascii="Calibri" w:hAnsi="Calibri"/>
                <w:b/>
                <w:color w:val="FFFFFF"/>
                <w:sz w:val="22"/>
              </w:rPr>
              <w:t>Current Consensus (Jul 22)</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w:t>
            </w:r>
          </w:p>
        </w:tc>
      </w:tr>
      <w:tr>
        <w:tc>
          <w:tcPr>
            <w:tcW w:type="dxa" w:w="1080"/>
          </w:tcPr>
          <w:p>
            <w:r>
              <w:rPr>
                <w:rFonts w:ascii="Calibri" w:hAnsi="Calibri"/>
                <w:sz w:val="22"/>
              </w:rPr>
              <w:t>Adj. Operating EPS — Q2 2026</w:t>
            </w:r>
          </w:p>
        </w:tc>
        <w:tc>
          <w:tcPr>
            <w:tcW w:type="dxa" w:w="1080"/>
          </w:tcPr>
          <w:p>
            <w:r>
              <w:rPr>
                <w:rFonts w:ascii="Calibri" w:hAnsi="Calibri"/>
                <w:sz w:val="22"/>
              </w:rPr>
              <w:t>$10.63</w:t>
            </w:r>
          </w:p>
        </w:tc>
        <w:tc>
          <w:tcPr>
            <w:tcW w:type="dxa" w:w="1080"/>
          </w:tcPr>
          <w:p>
            <w:r>
              <w:rPr>
                <w:rFonts w:ascii="Calibri" w:hAnsi="Calibri"/>
                <w:sz w:val="22"/>
              </w:rPr>
              <w:t>$10.75</w:t>
            </w:r>
          </w:p>
        </w:tc>
        <w:tc>
          <w:tcPr>
            <w:tcW w:type="dxa" w:w="1080"/>
          </w:tcPr>
          <w:p>
            <w:r>
              <w:rPr>
                <w:rFonts w:ascii="Calibri" w:hAnsi="Calibri"/>
                <w:b/>
                <w:color w:val="30A46C"/>
                <w:sz w:val="22"/>
              </w:rPr>
              <w:t>+1.1%</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Operating EPS — FY2026</w:t>
            </w:r>
          </w:p>
        </w:tc>
        <w:tc>
          <w:tcPr>
            <w:tcW w:type="dxa" w:w="1080"/>
          </w:tcPr>
          <w:p>
            <w:r>
              <w:rPr>
                <w:rFonts w:ascii="Calibri" w:hAnsi="Calibri"/>
                <w:sz w:val="22"/>
              </w:rPr>
              <w:t>$44.16</w:t>
            </w:r>
          </w:p>
        </w:tc>
        <w:tc>
          <w:tcPr>
            <w:tcW w:type="dxa" w:w="1080"/>
          </w:tcPr>
          <w:p>
            <w:r>
              <w:rPr>
                <w:rFonts w:ascii="Calibri" w:hAnsi="Calibri"/>
                <w:sz w:val="22"/>
              </w:rPr>
              <w:t>$45.22</w:t>
            </w:r>
          </w:p>
        </w:tc>
        <w:tc>
          <w:tcPr>
            <w:tcW w:type="dxa" w:w="1080"/>
          </w:tcPr>
          <w:p>
            <w:r>
              <w:rPr>
                <w:rFonts w:ascii="Calibri" w:hAnsi="Calibri"/>
                <w:b/>
                <w:color w:val="30A46C"/>
                <w:sz w:val="22"/>
              </w:rPr>
              <w:t>+2.4%</w:t>
            </w:r>
          </w:p>
        </w:tc>
        <w:tc>
          <w:tcPr>
            <w:tcW w:type="dxa" w:w="1080"/>
          </w:tcPr>
          <w:p>
            <w:r>
              <w:rPr>
                <w:rFonts w:ascii="Calibri" w:hAnsi="Calibri"/>
                <w:sz w:val="22"/>
              </w:rPr>
              <w:t>No explicit FY EPS guidance</w:t>
            </w:r>
          </w:p>
        </w:tc>
        <w:tc>
          <w:tcPr>
            <w:tcW w:type="dxa" w:w="1080"/>
          </w:tcPr>
          <w:p>
            <w:r>
              <w:rPr>
                <w:rFonts w:ascii="Calibri" w:hAnsi="Calibri"/>
                <w:sz w:val="22"/>
              </w:rPr>
              <w:t>No explicit FY EPS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Operating Revenues — Q2 2026 ($B)</w:t>
            </w:r>
          </w:p>
        </w:tc>
        <w:tc>
          <w:tcPr>
            <w:tcW w:type="dxa" w:w="1080"/>
          </w:tcPr>
          <w:p>
            <w:r>
              <w:rPr>
                <w:rFonts w:ascii="Calibri" w:hAnsi="Calibri"/>
                <w:sz w:val="22"/>
              </w:rPr>
              <w:t>$4.80B</w:t>
            </w:r>
          </w:p>
        </w:tc>
        <w:tc>
          <w:tcPr>
            <w:tcW w:type="dxa" w:w="1080"/>
          </w:tcPr>
          <w:p>
            <w:r>
              <w:rPr>
                <w:rFonts w:ascii="Calibri" w:hAnsi="Calibri"/>
                <w:sz w:val="22"/>
              </w:rPr>
              <w:t>$4.88B</w:t>
            </w:r>
          </w:p>
        </w:tc>
        <w:tc>
          <w:tcPr>
            <w:tcW w:type="dxa" w:w="1080"/>
          </w:tcPr>
          <w:p>
            <w:r>
              <w:rPr>
                <w:rFonts w:ascii="Calibri" w:hAnsi="Calibri"/>
                <w:b/>
                <w:color w:val="30A46C"/>
                <w:sz w:val="22"/>
              </w:rPr>
              <w:t>+1.7%</w:t>
            </w:r>
          </w:p>
        </w:tc>
        <w:tc>
          <w:tcPr>
            <w:tcW w:type="dxa" w:w="1080"/>
          </w:tcPr>
          <w:p>
            <w:r>
              <w:rPr>
                <w:rFonts w:ascii="Calibri" w:hAnsi="Calibri"/>
                <w:sz w:val="22"/>
              </w:rPr>
              <w:t>No explicit Q2 guidance</w:t>
            </w:r>
          </w:p>
        </w:tc>
        <w:tc>
          <w:tcPr>
            <w:tcW w:type="dxa" w:w="1080"/>
          </w:tcPr>
          <w:p>
            <w:r>
              <w:rPr>
                <w:rFonts w:ascii="Calibri" w:hAnsi="Calibri"/>
                <w:sz w:val="22"/>
              </w:rPr>
              <w:t>No explicit Q2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Operating Revenues — FY2026 ($B)</w:t>
            </w:r>
          </w:p>
        </w:tc>
        <w:tc>
          <w:tcPr>
            <w:tcW w:type="dxa" w:w="1080"/>
          </w:tcPr>
          <w:p>
            <w:r>
              <w:rPr>
                <w:rFonts w:ascii="Calibri" w:hAnsi="Calibri"/>
                <w:sz w:val="22"/>
              </w:rPr>
              <w:t>$19.56B</w:t>
            </w:r>
          </w:p>
        </w:tc>
        <w:tc>
          <w:tcPr>
            <w:tcW w:type="dxa" w:w="1080"/>
          </w:tcPr>
          <w:p>
            <w:r>
              <w:rPr>
                <w:rFonts w:ascii="Calibri" w:hAnsi="Calibri"/>
                <w:sz w:val="22"/>
              </w:rPr>
              <w:t>$19.91B</w:t>
            </w:r>
          </w:p>
        </w:tc>
        <w:tc>
          <w:tcPr>
            <w:tcW w:type="dxa" w:w="1080"/>
          </w:tcPr>
          <w:p>
            <w:r>
              <w:rPr>
                <w:rFonts w:ascii="Calibri" w:hAnsi="Calibri"/>
                <w:b/>
                <w:color w:val="30A46C"/>
                <w:sz w:val="22"/>
              </w:rPr>
              <w:t>+1.8%</w:t>
            </w:r>
          </w:p>
        </w:tc>
        <w:tc>
          <w:tcPr>
            <w:tcW w:type="dxa" w:w="1080"/>
          </w:tcPr>
          <w:p>
            <w:r>
              <w:rPr>
                <w:rFonts w:ascii="Calibri" w:hAnsi="Calibri"/>
                <w:sz w:val="22"/>
              </w:rPr>
              <w:t>No explicit FY revenue guidance</w:t>
            </w:r>
          </w:p>
        </w:tc>
        <w:tc>
          <w:tcPr>
            <w:tcW w:type="dxa" w:w="1080"/>
          </w:tcPr>
          <w:p>
            <w:r>
              <w:rPr>
                <w:rFonts w:ascii="Calibri" w:hAnsi="Calibri"/>
                <w:sz w:val="22"/>
              </w:rPr>
              <w:t>No explicit FY revenue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Client Flows — Q2 2026 ($B)</w:t>
            </w:r>
          </w:p>
        </w:tc>
        <w:tc>
          <w:tcPr>
            <w:tcW w:type="dxa" w:w="1080"/>
          </w:tcPr>
          <w:p>
            <w:r>
              <w:rPr>
                <w:rFonts w:ascii="Calibri" w:hAnsi="Calibri"/>
                <w:sz w:val="22"/>
              </w:rPr>
              <w:t>$3.87B</w:t>
            </w:r>
          </w:p>
        </w:tc>
        <w:tc>
          <w:tcPr>
            <w:tcW w:type="dxa" w:w="1080"/>
          </w:tcPr>
          <w:p>
            <w:r>
              <w:rPr>
                <w:rFonts w:ascii="Calibri" w:hAnsi="Calibri"/>
                <w:sz w:val="22"/>
              </w:rPr>
              <w:t>$3.71B</w:t>
            </w:r>
          </w:p>
        </w:tc>
        <w:tc>
          <w:tcPr>
            <w:tcW w:type="dxa" w:w="1080"/>
          </w:tcPr>
          <w:p>
            <w:r>
              <w:rPr>
                <w:rFonts w:ascii="Calibri" w:hAnsi="Calibri"/>
                <w:b/>
                <w:color w:val="E5484D"/>
                <w:sz w:val="22"/>
              </w:rPr>
              <w:t>-4.1%</w:t>
            </w:r>
          </w:p>
        </w:tc>
        <w:tc>
          <w:tcPr>
            <w:tcW w:type="dxa" w:w="1080"/>
          </w:tcPr>
          <w:p>
            <w:r>
              <w:rPr>
                <w:rFonts w:ascii="Calibri" w:hAnsi="Calibri"/>
                <w:sz w:val="22"/>
              </w:rPr>
              <w:t>Comerica outflows to accelerate in Q2/Q3</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Source: Visible Alpha Consensus and Actuals Data. Post-Q1 baseline uses consensus as of approximately April 28, 2026 (5 trading days post-print). Current consensus as of July 22, 2026.</w:t>
      </w:r>
    </w:p>
    <w:p>
      <w:r>
        <w:rPr>
          <w:rFonts w:ascii="Calibri" w:hAnsi="Calibri"/>
          <w:color w:val="525866"/>
          <w:sz w:val="22"/>
        </w:rPr>
        <w:t>The revision trajectory is constructive: EPS and revenue estimates have moved higher since the Q1 print, driven by strong equity market performance (S&amp;P 500 +5.5% since April 23) and positive peer read-throughs from BlackRock, Schwab, and Raymond James. The flow estimate has ticked slightly lower, consistent with management's explicit Comerica acceleration guidance. The gap between EPS revision momentum (+2.4% on FY) and flow revision momentum (-4.1% on Q2) reflects the market's view that AMP can deliver earnings growth even through the flow headwind period.</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AMP's +14.6% rally since Q1 earnings has been driven by a combination of </w:t>
      </w:r>
      <w:r>
        <w:rPr>
          <w:rFonts w:ascii="Calibri" w:hAnsi="Calibri"/>
          <w:b/>
          <w:color w:val="525866"/>
          <w:sz w:val="22"/>
        </w:rPr>
        <w:t>multiple re-rating and earnings revision momentum</w:t>
      </w:r>
      <w:r>
        <w:rPr>
          <w:rFonts w:ascii="Calibri" w:hAnsi="Calibri"/>
          <w:color w:val="525866"/>
          <w:sz w:val="22"/>
        </w:rPr>
        <w:t>, with the stock outperforming both XLF (+8.2%) and SPY (+5.5%) over the same period. The NTM P/E has expanded from ~10.2x to ~11.1x, suggesting the market is pricing in continued execution rather than just market beta.</w:t>
      </w:r>
    </w:p>
    <w:p>
      <w:r>
        <w:rPr>
          <w:rFonts w:ascii="Calibri" w:hAnsi="Calibri"/>
          <w:b/>
          <w:color w:val="525866"/>
          <w:sz w:val="22"/>
        </w:rPr>
        <w:t>Indexed Performance: AMP vs. XLF vs. SPY — Since April 23, 2026 (Q1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AMP (Indexed)</w:t>
            </w:r>
          </w:p>
        </w:tc>
        <w:tc>
          <w:tcPr>
            <w:tcW w:type="dxa" w:w="2160"/>
            <w:shd w:val="clear" w:color="auto" w:fill="3B4259"/>
          </w:tcPr>
          <w:p>
            <w:r>
              <w:rPr>
                <w:rFonts w:ascii="Calibri" w:hAnsi="Calibri"/>
                <w:b/>
                <w:color w:val="FFFFFF"/>
                <w:sz w:val="22"/>
              </w:rPr>
              <w:t>XLF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23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w:t>
            </w:r>
          </w:p>
        </w:tc>
        <w:tc>
          <w:tcPr>
            <w:tcW w:type="dxa" w:w="2160"/>
          </w:tcPr>
          <w:p>
            <w:r>
              <w:rPr>
                <w:rFonts w:ascii="Calibri" w:hAnsi="Calibri"/>
                <w:sz w:val="22"/>
              </w:rPr>
              <w:t>103.3</w:t>
            </w:r>
          </w:p>
        </w:tc>
        <w:tc>
          <w:tcPr>
            <w:tcW w:type="dxa" w:w="2160"/>
          </w:tcPr>
          <w:p>
            <w:r>
              <w:rPr>
                <w:rFonts w:ascii="Calibri" w:hAnsi="Calibri"/>
                <w:sz w:val="22"/>
              </w:rPr>
              <w:t>100.6</w:t>
            </w:r>
          </w:p>
        </w:tc>
        <w:tc>
          <w:tcPr>
            <w:tcW w:type="dxa" w:w="2160"/>
          </w:tcPr>
          <w:p>
            <w:r>
              <w:rPr>
                <w:rFonts w:ascii="Calibri" w:hAnsi="Calibri"/>
                <w:sz w:val="22"/>
              </w:rPr>
              <w:t>101.4</w:t>
            </w:r>
          </w:p>
        </w:tc>
      </w:tr>
      <w:tr>
        <w:tc>
          <w:tcPr>
            <w:tcW w:type="dxa" w:w="2160"/>
          </w:tcPr>
          <w:p>
            <w:r>
              <w:rPr>
                <w:rFonts w:ascii="Calibri" w:hAnsi="Calibri"/>
                <w:sz w:val="22"/>
              </w:rPr>
              <w:t>May 15</w:t>
            </w:r>
          </w:p>
        </w:tc>
        <w:tc>
          <w:tcPr>
            <w:tcW w:type="dxa" w:w="2160"/>
          </w:tcPr>
          <w:p>
            <w:r>
              <w:rPr>
                <w:rFonts w:ascii="Calibri" w:hAnsi="Calibri"/>
                <w:sz w:val="22"/>
              </w:rPr>
              <w:t>102.3</w:t>
            </w:r>
          </w:p>
        </w:tc>
        <w:tc>
          <w:tcPr>
            <w:tcW w:type="dxa" w:w="2160"/>
          </w:tcPr>
          <w:p>
            <w:r>
              <w:rPr>
                <w:rFonts w:ascii="Calibri" w:hAnsi="Calibri"/>
                <w:sz w:val="22"/>
              </w:rPr>
              <w:t>98.7</w:t>
            </w:r>
          </w:p>
        </w:tc>
        <w:tc>
          <w:tcPr>
            <w:tcW w:type="dxa" w:w="2160"/>
          </w:tcPr>
          <w:p>
            <w:r>
              <w:rPr>
                <w:rFonts w:ascii="Calibri" w:hAnsi="Calibri"/>
                <w:sz w:val="22"/>
              </w:rPr>
              <w:t>104.3</w:t>
            </w:r>
          </w:p>
        </w:tc>
      </w:tr>
      <w:tr>
        <w:tc>
          <w:tcPr>
            <w:tcW w:type="dxa" w:w="2160"/>
          </w:tcPr>
          <w:p>
            <w:r>
              <w:rPr>
                <w:rFonts w:ascii="Calibri" w:hAnsi="Calibri"/>
                <w:sz w:val="22"/>
              </w:rPr>
              <w:t>May 29</w:t>
            </w:r>
          </w:p>
        </w:tc>
        <w:tc>
          <w:tcPr>
            <w:tcW w:type="dxa" w:w="2160"/>
          </w:tcPr>
          <w:p>
            <w:r>
              <w:rPr>
                <w:rFonts w:ascii="Calibri" w:hAnsi="Calibri"/>
                <w:sz w:val="22"/>
              </w:rPr>
              <w:t>96.9</w:t>
            </w:r>
          </w:p>
        </w:tc>
        <w:tc>
          <w:tcPr>
            <w:tcW w:type="dxa" w:w="2160"/>
          </w:tcPr>
          <w:p>
            <w:r>
              <w:rPr>
                <w:rFonts w:ascii="Calibri" w:hAnsi="Calibri"/>
                <w:sz w:val="22"/>
              </w:rPr>
              <w:t>99.6</w:t>
            </w:r>
          </w:p>
        </w:tc>
        <w:tc>
          <w:tcPr>
            <w:tcW w:type="dxa" w:w="2160"/>
          </w:tcPr>
          <w:p>
            <w:r>
              <w:rPr>
                <w:rFonts w:ascii="Calibri" w:hAnsi="Calibri"/>
                <w:sz w:val="22"/>
              </w:rPr>
              <w:t>106.8</w:t>
            </w:r>
          </w:p>
        </w:tc>
      </w:tr>
      <w:tr>
        <w:tc>
          <w:tcPr>
            <w:tcW w:type="dxa" w:w="2160"/>
          </w:tcPr>
          <w:p>
            <w:r>
              <w:rPr>
                <w:rFonts w:ascii="Calibri" w:hAnsi="Calibri"/>
                <w:sz w:val="22"/>
              </w:rPr>
              <w:t>Jun 12</w:t>
            </w:r>
          </w:p>
        </w:tc>
        <w:tc>
          <w:tcPr>
            <w:tcW w:type="dxa" w:w="2160"/>
          </w:tcPr>
          <w:p>
            <w:r>
              <w:rPr>
                <w:rFonts w:ascii="Calibri" w:hAnsi="Calibri"/>
                <w:sz w:val="22"/>
              </w:rPr>
              <w:t>99.9</w:t>
            </w:r>
          </w:p>
        </w:tc>
        <w:tc>
          <w:tcPr>
            <w:tcW w:type="dxa" w:w="2160"/>
          </w:tcPr>
          <w:p>
            <w:r>
              <w:rPr>
                <w:rFonts w:ascii="Calibri" w:hAnsi="Calibri"/>
                <w:sz w:val="22"/>
              </w:rPr>
              <w:t>102.9</w:t>
            </w:r>
          </w:p>
        </w:tc>
        <w:tc>
          <w:tcPr>
            <w:tcW w:type="dxa" w:w="2160"/>
          </w:tcPr>
          <w:p>
            <w:r>
              <w:rPr>
                <w:rFonts w:ascii="Calibri" w:hAnsi="Calibri"/>
                <w:sz w:val="22"/>
              </w:rPr>
              <w:t>104.7</w:t>
            </w:r>
          </w:p>
        </w:tc>
      </w:tr>
      <w:tr>
        <w:tc>
          <w:tcPr>
            <w:tcW w:type="dxa" w:w="2160"/>
          </w:tcPr>
          <w:p>
            <w:r>
              <w:rPr>
                <w:rFonts w:ascii="Calibri" w:hAnsi="Calibri"/>
                <w:sz w:val="22"/>
              </w:rPr>
              <w:t>Jun 30</w:t>
            </w:r>
          </w:p>
        </w:tc>
        <w:tc>
          <w:tcPr>
            <w:tcW w:type="dxa" w:w="2160"/>
          </w:tcPr>
          <w:p>
            <w:r>
              <w:rPr>
                <w:rFonts w:ascii="Calibri" w:hAnsi="Calibri"/>
                <w:sz w:val="22"/>
              </w:rPr>
              <w:t>99.8</w:t>
            </w:r>
          </w:p>
        </w:tc>
        <w:tc>
          <w:tcPr>
            <w:tcW w:type="dxa" w:w="2160"/>
          </w:tcPr>
          <w:p>
            <w:r>
              <w:rPr>
                <w:rFonts w:ascii="Calibri" w:hAnsi="Calibri"/>
                <w:sz w:val="22"/>
              </w:rPr>
              <w:t>103.5</w:t>
            </w:r>
          </w:p>
        </w:tc>
        <w:tc>
          <w:tcPr>
            <w:tcW w:type="dxa" w:w="2160"/>
          </w:tcPr>
          <w:p>
            <w:r>
              <w:rPr>
                <w:rFonts w:ascii="Calibri" w:hAnsi="Calibri"/>
                <w:sz w:val="22"/>
              </w:rPr>
              <w:t>105.4</w:t>
            </w:r>
          </w:p>
        </w:tc>
      </w:tr>
      <w:tr>
        <w:tc>
          <w:tcPr>
            <w:tcW w:type="dxa" w:w="2160"/>
          </w:tcPr>
          <w:p>
            <w:r>
              <w:rPr>
                <w:rFonts w:ascii="Calibri" w:hAnsi="Calibri"/>
                <w:sz w:val="22"/>
              </w:rPr>
              <w:t>Jul 10</w:t>
            </w:r>
          </w:p>
        </w:tc>
        <w:tc>
          <w:tcPr>
            <w:tcW w:type="dxa" w:w="2160"/>
          </w:tcPr>
          <w:p>
            <w:r>
              <w:rPr>
                <w:rFonts w:ascii="Calibri" w:hAnsi="Calibri"/>
                <w:sz w:val="22"/>
              </w:rPr>
              <w:t>110.3</w:t>
            </w:r>
          </w:p>
        </w:tc>
        <w:tc>
          <w:tcPr>
            <w:tcW w:type="dxa" w:w="2160"/>
          </w:tcPr>
          <w:p>
            <w:r>
              <w:rPr>
                <w:rFonts w:ascii="Calibri" w:hAnsi="Calibri"/>
                <w:sz w:val="22"/>
              </w:rPr>
              <w:t>107.6</w:t>
            </w:r>
          </w:p>
        </w:tc>
        <w:tc>
          <w:tcPr>
            <w:tcW w:type="dxa" w:w="2160"/>
          </w:tcPr>
          <w:p>
            <w:r>
              <w:rPr>
                <w:rFonts w:ascii="Calibri" w:hAnsi="Calibri"/>
                <w:sz w:val="22"/>
              </w:rPr>
              <w:t>106.5</w:t>
            </w:r>
          </w:p>
        </w:tc>
      </w:tr>
      <w:tr>
        <w:tc>
          <w:tcPr>
            <w:tcW w:type="dxa" w:w="2160"/>
          </w:tcPr>
          <w:p>
            <w:r>
              <w:rPr>
                <w:rFonts w:ascii="Calibri" w:hAnsi="Calibri"/>
                <w:sz w:val="22"/>
              </w:rPr>
              <w:t>Jul 16</w:t>
            </w:r>
          </w:p>
        </w:tc>
        <w:tc>
          <w:tcPr>
            <w:tcW w:type="dxa" w:w="2160"/>
          </w:tcPr>
          <w:p>
            <w:r>
              <w:rPr>
                <w:rFonts w:ascii="Calibri" w:hAnsi="Calibri"/>
                <w:sz w:val="22"/>
              </w:rPr>
              <w:t>116.0</w:t>
            </w:r>
          </w:p>
        </w:tc>
        <w:tc>
          <w:tcPr>
            <w:tcW w:type="dxa" w:w="2160"/>
          </w:tcPr>
          <w:p>
            <w:r>
              <w:rPr>
                <w:rFonts w:ascii="Calibri" w:hAnsi="Calibri"/>
                <w:sz w:val="22"/>
              </w:rPr>
              <w:t>109.6</w:t>
            </w:r>
          </w:p>
        </w:tc>
        <w:tc>
          <w:tcPr>
            <w:tcW w:type="dxa" w:w="2160"/>
          </w:tcPr>
          <w:p>
            <w:r>
              <w:rPr>
                <w:rFonts w:ascii="Calibri" w:hAnsi="Calibri"/>
                <w:sz w:val="22"/>
              </w:rPr>
              <w:t>105.9</w:t>
            </w:r>
          </w:p>
        </w:tc>
      </w:tr>
      <w:tr>
        <w:tc>
          <w:tcPr>
            <w:tcW w:type="dxa" w:w="2160"/>
          </w:tcPr>
          <w:p>
            <w:r>
              <w:rPr>
                <w:rFonts w:ascii="Calibri" w:hAnsi="Calibri"/>
                <w:sz w:val="22"/>
              </w:rPr>
              <w:t>Jul 22 (Latest)</w:t>
            </w:r>
          </w:p>
        </w:tc>
        <w:tc>
          <w:tcPr>
            <w:tcW w:type="dxa" w:w="2160"/>
          </w:tcPr>
          <w:p>
            <w:r>
              <w:rPr>
                <w:rFonts w:ascii="Calibri" w:hAnsi="Calibri"/>
                <w:sz w:val="22"/>
              </w:rPr>
              <w:t>114.6</w:t>
            </w:r>
          </w:p>
        </w:tc>
        <w:tc>
          <w:tcPr>
            <w:tcW w:type="dxa" w:w="2160"/>
          </w:tcPr>
          <w:p>
            <w:r>
              <w:rPr>
                <w:rFonts w:ascii="Calibri" w:hAnsi="Calibri"/>
                <w:sz w:val="22"/>
              </w:rPr>
              <w:t>108.2</w:t>
            </w:r>
          </w:p>
        </w:tc>
        <w:tc>
          <w:tcPr>
            <w:tcW w:type="dxa" w:w="2160"/>
          </w:tcPr>
          <w:p>
            <w:r>
              <w:rPr>
                <w:rFonts w:ascii="Calibri" w:hAnsi="Calibri"/>
                <w:sz w:val="22"/>
              </w:rPr>
              <w:t>105.5</w:t>
            </w:r>
          </w:p>
        </w:tc>
      </w:tr>
    </w:tbl>
    <w:p>
      <w:r>
        <w:rPr>
          <w:rFonts w:ascii="Calibri" w:hAnsi="Calibri"/>
          <w:i/>
          <w:color w:val="525866"/>
          <w:sz w:val="22"/>
        </w:rPr>
        <w:t>Source: Stock Price Data (Yahoo Finance). Base = 100 at April 23, 2026 close. XLF = Financial Select Sector SPDR ETF (appropriate sector benchmark for diversified financial services / wealth management). SPY = S&amp;P 500 ETF.</w:t>
      </w:r>
    </w:p>
    <w:p>
      <w:r>
        <w:rPr>
          <w:rFonts w:ascii="Calibri" w:hAnsi="Calibri"/>
          <w:b/>
          <w:color w:val="525866"/>
          <w:sz w:val="22"/>
        </w:rPr>
        <w:t xml:space="preserve">Performance narrative: </w:t>
      </w:r>
      <w:r>
        <w:rPr>
          <w:rFonts w:ascii="Calibri" w:hAnsi="Calibri"/>
          <w:color w:val="525866"/>
          <w:sz w:val="22"/>
        </w:rPr>
        <w:t>AMP lagged the market through late May as investors digested the Comerica flow headwind disclosed on the Q1 call. The stock then traded sideways through June while XLF and SPY continued to grind higher. The sharp re-rating began in early July, coinciding with strong bank earnings season read-throughs (JPM, GS, BAC, MS all beat) and the broader financial sector rally. AMP's NTM P/E has expanded from ~10.2x to ~11.1x over the period, with the 12-month P/E multiple down ~19% year-over-year, suggesting the stock still trades at a meaningful discount to its historical peak despite record operating performance. The stock performance decomposition shows that the 1-month and 3-month gains are predominantly multiple-driven (+11.3% and +13.4% P/B expansion, respectively), while the 6-month and 12-month windows show multiple contraction, indicating the recent rally is a recovery from an oversold condition rather than a new valuation regime.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Huntington Bank partnership confirmation</w:t>
      </w:r>
      <w:r>
        <w:rPr>
          <w:rFonts w:ascii="Calibri" w:hAnsi="Calibri"/>
          <w:color w:val="525866"/>
          <w:sz w:val="22"/>
        </w:rPr>
        <w:t xml:space="preserve"> (announced during Q1 call), which provides a clear Q4 catalyst to offset the Comerica drag. The broader financial sector earnings season has been uniformly strong, creating a favorable read-through backdrop for AMP's Q2 print.</w:t>
      </w:r>
    </w:p>
    <w:p>
      <w:pPr>
        <w:pStyle w:val="ListBullet"/>
        <w:ind w:left="360" w:hanging="360"/>
      </w:pPr>
      <w:r>
        <w:rPr>
          <w:rFonts w:ascii="Calibri" w:hAnsi="Calibri"/>
          <w:b/>
          <w:color w:val="525866"/>
          <w:sz w:val="22"/>
        </w:rPr>
        <w:t>April 23, 2026 — Q1 2026 Earnings Beat + Huntington Partnership Announced:</w:t>
      </w:r>
      <w:r>
        <w:rPr>
          <w:rFonts w:ascii="Calibri" w:hAnsi="Calibri"/>
          <w:color w:val="525866"/>
          <w:sz w:val="22"/>
        </w:rPr>
        <w:t xml:space="preserve"> AMP reported record adjusted operating EPS of $11.26 (+19% YoY), beating consensus by ~10%. Simultaneously confirmed Huntington National Bank as new retail investment program provider (~260 advisers, ~$28B assets, Q4 2026 onboarding). Comerica early termination finalized with $25M make-whole payment. </w:t>
      </w:r>
      <w:r>
        <w:rPr>
          <w:rFonts w:ascii="Calibri" w:hAnsi="Calibri"/>
          <w:i/>
          <w:color w:val="525866"/>
          <w:sz w:val="22"/>
        </w:rPr>
        <w:t>Implication: Sets a high bar for Q2 but provides clear H2 catalyst.</w:t>
      </w:r>
    </w:p>
    <w:p>
      <w:pPr>
        <w:pStyle w:val="ListBullet"/>
        <w:ind w:left="360" w:hanging="360"/>
      </w:pPr>
      <w:r>
        <w:rPr>
          <w:rFonts w:ascii="Calibri" w:hAnsi="Calibri"/>
          <w:b/>
          <w:color w:val="525866"/>
          <w:sz w:val="22"/>
        </w:rPr>
        <w:t>April 30, 2026 — Annual Shareholder Meeting:</w:t>
      </w:r>
      <w:r>
        <w:rPr>
          <w:rFonts w:ascii="Calibri" w:hAnsi="Calibri"/>
          <w:color w:val="525866"/>
          <w:sz w:val="22"/>
        </w:rPr>
        <w:t xml:space="preserve"> All proposals approved at annual meeting (8-K filed). Routine governance event; no material strategic announcements. </w:t>
      </w:r>
      <w:r>
        <w:rPr>
          <w:rFonts w:ascii="Calibri" w:hAnsi="Calibri"/>
          <w:i/>
          <w:color w:val="525866"/>
          <w:sz w:val="22"/>
        </w:rPr>
        <w:t>Implication: No impact on earnings setup.</w:t>
      </w:r>
    </w:p>
    <w:p>
      <w:pPr>
        <w:pStyle w:val="ListBullet"/>
        <w:ind w:left="360" w:hanging="360"/>
      </w:pPr>
      <w:r>
        <w:rPr>
          <w:rFonts w:ascii="Calibri" w:hAnsi="Calibri"/>
          <w:b/>
          <w:color w:val="525866"/>
          <w:sz w:val="22"/>
        </w:rPr>
        <w:t>July 1–July 16, 2026 — Financial Sector Earnings Season (Strong Broad Beat):</w:t>
      </w:r>
      <w:r>
        <w:rPr>
          <w:rFonts w:ascii="Calibri" w:hAnsi="Calibri"/>
          <w:color w:val="525866"/>
          <w:sz w:val="22"/>
        </w:rPr>
        <w:t xml:space="preserve"> JPM, GS, BAC, MS, WFC, C, BLK, SCHW, RJF all reported Q2 results with significant beats. Equity trading revenue surged 70–86% at major banks; wealth management AUM and flows broadly positive. BlackRock AUM hit record $15.3T; Schwab reported record client assets and +50% YoY core net new assets. </w:t>
      </w:r>
      <w:r>
        <w:rPr>
          <w:rFonts w:ascii="Calibri" w:hAnsi="Calibri"/>
          <w:i/>
          <w:color w:val="525866"/>
          <w:sz w:val="22"/>
        </w:rPr>
        <w:t>Implication: Strong positive read-through for AMP's AWM segment — market appreciation, client engagement, and fee-based asset growth all trending favorably.</w:t>
      </w:r>
    </w:p>
    <w:p>
      <w:pPr>
        <w:pStyle w:val="ListBullet"/>
        <w:ind w:left="360" w:hanging="360"/>
      </w:pPr>
      <w:r>
        <w:rPr>
          <w:rFonts w:ascii="Calibri" w:hAnsi="Calibri"/>
          <w:b/>
          <w:color w:val="525866"/>
          <w:sz w:val="22"/>
        </w:rPr>
        <w:t>July 13, 2026 — Victory Capital Q2 AUM Update:</w:t>
      </w:r>
      <w:r>
        <w:rPr>
          <w:rFonts w:ascii="Calibri" w:hAnsi="Calibri"/>
          <w:color w:val="525866"/>
          <w:sz w:val="22"/>
        </w:rPr>
        <w:t xml:space="preserve"> VCTR reported $342.4B in AUM as of June 30, with long-term net inflows of $4.2B in Q2. Broad-based asset class growth across fixed income, solutions, and global equity. </w:t>
      </w:r>
      <w:r>
        <w:rPr>
          <w:rFonts w:ascii="Calibri" w:hAnsi="Calibri"/>
          <w:i/>
          <w:color w:val="525866"/>
          <w:sz w:val="22"/>
        </w:rPr>
        <w:t>Implication: Positive read-through for AMP's Columbia Threadneedle asset management flows.</w:t>
      </w:r>
    </w:p>
    <w:p>
      <w:pPr>
        <w:pStyle w:val="ListBullet"/>
        <w:ind w:left="360" w:hanging="360"/>
      </w:pPr>
      <w:r>
        <w:rPr>
          <w:rFonts w:ascii="Calibri" w:hAnsi="Calibri"/>
          <w:b/>
          <w:color w:val="525866"/>
          <w:sz w:val="22"/>
        </w:rPr>
        <w:t>July 20, 2026 — Principal Financial Q2 AUM Disclosure:</w:t>
      </w:r>
      <w:r>
        <w:rPr>
          <w:rFonts w:ascii="Calibri" w:hAnsi="Calibri"/>
          <w:color w:val="525866"/>
          <w:sz w:val="22"/>
        </w:rPr>
        <w:t xml:space="preserve"> PFG reported $808B in AUM as of June 30, with a 6.4% positive impact from market performance and FX during Q2. </w:t>
      </w:r>
      <w:r>
        <w:rPr>
          <w:rFonts w:ascii="Calibri" w:hAnsi="Calibri"/>
          <w:i/>
          <w:color w:val="525866"/>
          <w:sz w:val="22"/>
        </w:rPr>
        <w:t>Implication: Confirms favorable market environment for AUM growth heading into AMP's Q2 print.</w:t>
      </w:r>
    </w:p>
    <w:p>
      <w:pPr>
        <w:pStyle w:val="ListBullet"/>
        <w:ind w:left="360" w:hanging="360"/>
      </w:pPr>
      <w:r>
        <w:rPr>
          <w:rFonts w:ascii="Calibri" w:hAnsi="Calibri"/>
          <w:b/>
          <w:color w:val="525866"/>
          <w:sz w:val="22"/>
        </w:rPr>
        <w:t>July 21, 2026 — Charles Schwab Q2 2026 Earnings Beat:</w:t>
      </w:r>
      <w:r>
        <w:rPr>
          <w:rFonts w:ascii="Calibri" w:hAnsi="Calibri"/>
          <w:color w:val="525866"/>
          <w:sz w:val="22"/>
        </w:rPr>
        <w:t xml:space="preserve"> SCHW reported record results with $120B in core net new assets (+50% YoY), adjusted EPS of $1.62 (+42% YoY), and raised FY2026 revenue growth guidance to 17.5–18.5%. Wealth management fee revenue grew 16% YoY. </w:t>
      </w:r>
      <w:r>
        <w:rPr>
          <w:rFonts w:ascii="Calibri" w:hAnsi="Calibri"/>
          <w:i/>
          <w:color w:val="525866"/>
          <w:sz w:val="22"/>
        </w:rPr>
        <w:t>Implication: Strong positive read-through for AMP's AWM segment — client engagement, managed investing flows, and fee revenue all accelerating.</w:t>
      </w:r>
    </w:p>
    <w:p>
      <w:pPr>
        <w:pStyle w:val="ListBullet"/>
        <w:ind w:left="360" w:hanging="360"/>
      </w:pPr>
      <w:r>
        <w:rPr>
          <w:rFonts w:ascii="Calibri" w:hAnsi="Calibri"/>
          <w:b/>
          <w:color w:val="525866"/>
          <w:sz w:val="22"/>
        </w:rPr>
        <w:t>July 22, 2026 — Raymond James Q3 FY2026 Earnings Beat:</w:t>
      </w:r>
      <w:r>
        <w:rPr>
          <w:rFonts w:ascii="Calibri" w:hAnsi="Calibri"/>
          <w:color w:val="525866"/>
          <w:sz w:val="22"/>
        </w:rPr>
        <w:t xml:space="preserve"> RJF reported record $1.86T in client AUA (+18% YoY), $21.7B in domestic net new assets (5.5% annualized), and record $1.15T in fee-based assets (+22% YoY). Adviser recruiting remains robust. </w:t>
      </w:r>
      <w:r>
        <w:rPr>
          <w:rFonts w:ascii="Calibri" w:hAnsi="Calibri"/>
          <w:i/>
          <w:color w:val="525866"/>
          <w:sz w:val="22"/>
        </w:rPr>
        <w:t>Implication: Direct positive read-through for AMP's adviser productivity, fee-based asset growth, and recruiting environment.</w:t>
      </w:r>
    </w:p>
    <w:p>
      <w:pPr>
        <w:pStyle w:val="ListBullet"/>
        <w:ind w:left="360" w:hanging="360"/>
      </w:pPr>
      <w:r>
        <w:rPr>
          <w:rFonts w:ascii="Calibri" w:hAnsi="Calibri"/>
          <w:b/>
          <w:color w:val="525866"/>
          <w:sz w:val="22"/>
        </w:rPr>
        <w:t>Ongoing — Adviser Channel Reorganization:</w:t>
      </w:r>
      <w:r>
        <w:rPr>
          <w:rFonts w:ascii="Calibri" w:hAnsi="Calibri"/>
          <w:color w:val="525866"/>
          <w:sz w:val="22"/>
        </w:rPr>
        <w:t xml:space="preserve"> Bill Williams (Pres., Wealth Mgmt Advisor Group) now leads consolidated employee and franchisee channels following Pat O'Connell's planned retirement. Organizational change streamlines oversight but may affect near-term recruiting execution. </w:t>
      </w:r>
      <w:r>
        <w:rPr>
          <w:rFonts w:ascii="Calibri" w:hAnsi="Calibri"/>
          <w:i/>
          <w:color w:val="525866"/>
          <w:sz w:val="22"/>
        </w:rPr>
        <w:t>Implication: Watch for any commentary on recruiting pipeline and channel integration progress.</w:t>
      </w:r>
    </w:p>
    <w:p>
      <w:pPr>
        <w:pStyle w:val="ListBullet"/>
        <w:ind w:left="360" w:hanging="360"/>
      </w:pPr>
      <w:r>
        <w:rPr>
          <w:rFonts w:ascii="Calibri" w:hAnsi="Calibri"/>
          <w:b/>
          <w:color w:val="525866"/>
          <w:sz w:val="22"/>
        </w:rPr>
        <w:t>Ongoing — AI &amp; Technology Platform Investment:</w:t>
      </w:r>
      <w:r>
        <w:rPr>
          <w:rFonts w:ascii="Calibri" w:hAnsi="Calibri"/>
          <w:color w:val="525866"/>
          <w:sz w:val="22"/>
        </w:rPr>
        <w:t xml:space="preserve"> AMP continues to invest in integrated adviser platform (CRM, eMeeting, advice insights, AI agents). Peers (RJF, SCHW, BLK) all highlighted AI as a key productivity driver in Q2 calls. </w:t>
      </w:r>
      <w:r>
        <w:rPr>
          <w:rFonts w:ascii="Calibri" w:hAnsi="Calibri"/>
          <w:i/>
          <w:color w:val="525866"/>
          <w:sz w:val="22"/>
        </w:rPr>
        <w:t>Implication: AMP's AI narrative will be a focus on the call; any quantification of productivity gains would be a positive catalyst.</w:t>
      </w:r>
    </w:p>
    <w:p>
      <w:r>
        <w:br w:type="page"/>
      </w:r>
    </w:p>
    <w:p>
      <w:pPr>
        <w:pStyle w:val="Heading2"/>
      </w:pPr>
      <w:r>
        <w:rPr>
          <w:rFonts w:ascii="Calibri" w:hAnsi="Calibri"/>
          <w:b/>
          <w:color w:val="3B4259"/>
          <w:sz w:val="28"/>
        </w:rPr>
        <w:t>7. Peer Commentary — Current-Quarter Read-Through (Q2 2026)</w:t>
      </w:r>
    </w:p>
    <w:p>
      <w:r>
        <w:rPr>
          <w:rFonts w:ascii="Calibri" w:hAnsi="Calibri"/>
          <w:b/>
          <w:color w:val="525866"/>
          <w:sz w:val="22"/>
        </w:rPr>
        <w:t xml:space="preserve">Key Takeaway: </w:t>
      </w:r>
      <w:r>
        <w:rPr>
          <w:rFonts w:ascii="Calibri" w:hAnsi="Calibri"/>
          <w:color w:val="525866"/>
          <w:sz w:val="22"/>
        </w:rPr>
        <w:t>Peer commentary from Q2 2026 reporting is uniformly positive for AMP's setup — strong market-driven AUM growth, robust wealth management flows, and healthy adviser engagement all point to a favorable quarter. The primary limitation is that AMP's flow story is idiosyncratic (Comerica drag) and not captured in peer results.</w:t>
      </w:r>
    </w:p>
    <w:p>
      <w:r>
        <w:rPr>
          <w:rFonts w:ascii="Calibri" w:hAnsi="Calibri"/>
          <w:b/>
          <w:i/>
          <w:color w:val="525866"/>
          <w:sz w:val="22"/>
        </w:rPr>
        <w:t xml:space="preserve">Methodology Note: </w:t>
      </w:r>
      <w:r>
        <w:rPr>
          <w:rFonts w:ascii="Calibri" w:hAnsi="Calibri"/>
          <w:i/>
          <w:color w:val="525866"/>
          <w:sz w:val="22"/>
        </w:rPr>
        <w:t>Only commentary explicitly about Q2 2026 (the quarter ending June 30, 2026) or forward-looking statements made after each peer's last earnings call is included below. Prior-quarter earnings commentary about prior-quarter results is excluded.</w:t>
      </w:r>
    </w:p>
    <w:p>
      <w:pPr>
        <w:pStyle w:val="Heading3"/>
      </w:pPr>
      <w:r>
        <w:rPr>
          <w:rFonts w:ascii="Calibri" w:hAnsi="Calibri"/>
          <w:b/>
          <w:color w:val="3B4259"/>
          <w:sz w:val="24"/>
        </w:rPr>
        <w:t>BlackRock (BLK) — Q2 2026 Earnings (July 15, 2026)</w:t>
      </w:r>
    </w:p>
    <w:p>
      <w:r>
        <w:rPr>
          <w:rFonts w:ascii="Calibri" w:hAnsi="Calibri"/>
          <w:i/>
          <w:color w:val="525866"/>
          <w:sz w:val="22"/>
        </w:rPr>
        <w:t>Relevance: High (Asset Management read-through for Columbia Threadneedle). Limitation: BLK is a pure asset manager at $15.3T scale; AMP's Columbia Threadneedle is ~$706B and more active-equity focused.</w:t>
      </w:r>
    </w:p>
    <w:p>
      <w:pPr>
        <w:pStyle w:val="ListBullet"/>
        <w:ind w:left="360" w:hanging="360"/>
      </w:pPr>
      <w:r>
        <w:rPr>
          <w:rFonts w:ascii="Calibri" w:hAnsi="Calibri"/>
          <w:color w:val="525866"/>
          <w:sz w:val="22"/>
        </w:rPr>
        <w:t>Record AUM of $15.3T driven by $192B in Q2 net inflows — "flows more than double those seen in the first half of 2025."</w:t>
      </w:r>
      <w:r>
        <w:rPr>
          <w:rFonts w:ascii="Calibri" w:hAnsi="Calibri"/>
          <w:color w:val="525866"/>
          <w:sz w:val="22"/>
        </w:rPr>
        <w:t xml:space="preserve"> Active ETFs gathered $20B in Q2 inflows; institutional active net inflows of $44B led by private markets and fixed income systematic strategies.</w:t>
      </w:r>
      <w:r>
        <w:rPr>
          <w:rFonts w:ascii="Calibri" w:hAnsi="Calibri"/>
          <w:b/>
          <w:color w:val="525866"/>
          <w:sz w:val="22"/>
        </w:rPr>
        <w:t xml:space="preserve"> → Read-through: Broad-based institutional and retail demand for active strategies is a positive signal for Columbia Threadneedle's Q2 flows.</w:t>
      </w:r>
    </w:p>
    <w:p>
      <w:pPr>
        <w:pStyle w:val="ListBullet"/>
        <w:ind w:left="360" w:hanging="360"/>
      </w:pPr>
      <w:r>
        <w:rPr>
          <w:rFonts w:ascii="Calibri" w:hAnsi="Calibri"/>
          <w:color w:val="525866"/>
          <w:sz w:val="22"/>
        </w:rPr>
        <w:t>Operating margin expanded 260 bps YoY to 45.9%, the highest in nearly five years.</w:t>
      </w:r>
      <w:r>
        <w:rPr>
          <w:rFonts w:ascii="Calibri" w:hAnsi="Calibri"/>
          <w:color w:val="525866"/>
          <w:sz w:val="22"/>
        </w:rPr>
        <w:t xml:space="preserve"> Revenue grew 31% YoY to $7.1B.</w:t>
      </w:r>
      <w:r>
        <w:rPr>
          <w:rFonts w:ascii="Calibri" w:hAnsi="Calibri"/>
          <w:b/>
          <w:color w:val="525866"/>
          <w:sz w:val="22"/>
        </w:rPr>
        <w:t xml:space="preserve"> → Read-through: Strong market-driven operating leverage is a positive signal for AMP's AWM and AM margins.</w:t>
      </w:r>
    </w:p>
    <w:p>
      <w:pPr>
        <w:pStyle w:val="ListBullet"/>
        <w:ind w:left="360" w:hanging="360"/>
      </w:pPr>
      <w:r>
        <w:rPr>
          <w:rFonts w:ascii="Calibri" w:hAnsi="Calibri"/>
          <w:color w:val="525866"/>
          <w:sz w:val="22"/>
        </w:rPr>
        <w:t>Retail net inflows of $19B led by active fixed income and direct indexing (Aperio $7B in Q2, $20B YTD — surpassing 2025 full-year record).</w:t>
      </w:r>
      <w:r>
        <w:rPr>
          <w:rFonts w:ascii="Calibri" w:hAnsi="Calibri"/>
          <w:b/>
          <w:color w:val="525866"/>
          <w:sz w:val="22"/>
        </w:rPr>
        <w:t xml:space="preserve"> → Read-through: Demand for personalized, tax-aware wealth solutions is accelerating — directly relevant to AMP's Signature Wealth UMA and wrap account growth.</w:t>
      </w:r>
    </w:p>
    <w:p>
      <w:pPr>
        <w:pStyle w:val="ListBullet"/>
        <w:ind w:left="360" w:hanging="360"/>
      </w:pPr>
      <w:r>
        <w:rPr>
          <w:rFonts w:ascii="Calibri" w:hAnsi="Calibri"/>
          <w:color w:val="525866"/>
          <w:sz w:val="22"/>
        </w:rPr>
        <w:t>CEO Larry Fink: "I'm very optimistic on the outlook for global markets. We see great market fundamentals with higher corporate margins and earnings momentum catalyzed by new technology."</w:t>
      </w:r>
      <w:r>
        <w:rPr>
          <w:rFonts w:ascii="Calibri" w:hAnsi="Calibri"/>
          <w:b/>
          <w:color w:val="525866"/>
          <w:sz w:val="22"/>
        </w:rPr>
        <w:t xml:space="preserve"> → Read-through: Constructive macro backdrop supports AMP's fee-based revenue and client engagement.</w:t>
      </w:r>
    </w:p>
    <w:p>
      <w:pPr>
        <w:pStyle w:val="Heading3"/>
      </w:pPr>
      <w:r>
        <w:rPr>
          <w:rFonts w:ascii="Calibri" w:hAnsi="Calibri"/>
          <w:b/>
          <w:color w:val="3B4259"/>
          <w:sz w:val="24"/>
        </w:rPr>
        <w:t>Charles Schwab (SCHW) — Q2 2026 Earnings (July 21, 2026)</w:t>
      </w:r>
    </w:p>
    <w:p>
      <w:r>
        <w:rPr>
          <w:rFonts w:ascii="Calibri" w:hAnsi="Calibri"/>
          <w:i/>
          <w:color w:val="525866"/>
          <w:sz w:val="22"/>
        </w:rPr>
        <w:t>Relevance: High (Wealth management, cash sweep, and client engagement read-through). Limitation: SCHW is primarily a self-directed brokerage/custodian; AMP is adviser-led. Cash sweep dynamics differ (SCHW has $58.8B vs. AMP's $29.4B).</w:t>
      </w:r>
    </w:p>
    <w:p>
      <w:pPr>
        <w:pStyle w:val="ListBullet"/>
        <w:ind w:left="360" w:hanging="360"/>
      </w:pPr>
      <w:r>
        <w:rPr>
          <w:rFonts w:ascii="Calibri" w:hAnsi="Calibri"/>
          <w:color w:val="525866"/>
          <w:sz w:val="22"/>
        </w:rPr>
        <w:t>Record results: $120B in core net new assets (+50% YoY), 1.4M new brokerage accounts, adjusted EPS of $1.62 (+42% YoY).</w:t>
      </w:r>
      <w:r>
        <w:rPr>
          <w:rFonts w:ascii="Calibri" w:hAnsi="Calibri"/>
          <w:b/>
          <w:color w:val="525866"/>
          <w:sz w:val="22"/>
        </w:rPr>
        <w:t xml:space="preserve"> → Read-through: Investor engagement and asset gathering are at multi-year highs — positive for AMP's organic flow environment.</w:t>
      </w:r>
    </w:p>
    <w:p>
      <w:pPr>
        <w:pStyle w:val="ListBullet"/>
        <w:ind w:left="360" w:hanging="360"/>
      </w:pPr>
      <w:r>
        <w:rPr>
          <w:rFonts w:ascii="Calibri" w:hAnsi="Calibri"/>
          <w:color w:val="525866"/>
          <w:sz w:val="22"/>
        </w:rPr>
        <w:t>Net flows into managed investing increased 53% YoY. Asset management and administration fees grew 16% YoY to $1.8B.</w:t>
      </w:r>
      <w:r>
        <w:rPr>
          <w:rFonts w:ascii="Calibri" w:hAnsi="Calibri"/>
          <w:b/>
          <w:color w:val="525866"/>
          <w:sz w:val="22"/>
        </w:rPr>
        <w:t xml:space="preserve"> → Read-through: Clients are consolidating assets into managed solutions — directly supports AMP's wrap account and fee-based advisory growth thesis.</w:t>
      </w:r>
    </w:p>
    <w:p>
      <w:pPr>
        <w:pStyle w:val="ListBullet"/>
        <w:ind w:left="360" w:hanging="360"/>
      </w:pPr>
      <w:r>
        <w:rPr>
          <w:rFonts w:ascii="Calibri" w:hAnsi="Calibri"/>
          <w:color w:val="525866"/>
          <w:sz w:val="22"/>
        </w:rPr>
        <w:t>Transactional sweep cash increased $24.2B in Q2. Cash sweep and enhanced savings balances at $58.8B (+7% YoY).</w:t>
      </w:r>
      <w:r>
        <w:rPr>
          <w:rFonts w:ascii="Calibri" w:hAnsi="Calibri"/>
          <w:b/>
          <w:color w:val="525866"/>
          <w:sz w:val="22"/>
        </w:rPr>
        <w:t xml:space="preserve"> → Read-through: Cash balances growing at peers; AMP's $29.4B sweep balance may have stabilized or grown modestly in Q2 (management guided for seasonal recovery after Q1 tax-related dip).</w:t>
      </w:r>
    </w:p>
    <w:p>
      <w:pPr>
        <w:pStyle w:val="ListBullet"/>
        <w:ind w:left="360" w:hanging="360"/>
      </w:pPr>
      <w:r>
        <w:rPr>
          <w:rFonts w:ascii="Calibri" w:hAnsi="Calibri"/>
          <w:color w:val="525866"/>
          <w:sz w:val="22"/>
        </w:rPr>
        <w:t>FY2026 guidance raised: total revenue growth of 17.5–18.5%; NIM expected to finish in 3.25–3.30% range; expense growth 9.5–10.5%.</w:t>
      </w:r>
      <w:r>
        <w:rPr>
          <w:rFonts w:ascii="Calibri" w:hAnsi="Calibri"/>
          <w:b/>
          <w:color w:val="525866"/>
          <w:sz w:val="22"/>
        </w:rPr>
        <w:t xml:space="preserve"> → Read-through: Favorable rate and revenue environment for wealth managers broadly; AMP's bank NII (4.6% yield, 4-year duration) should benefit from similar dynamics.</w:t>
      </w:r>
    </w:p>
    <w:p>
      <w:pPr>
        <w:pStyle w:val="ListBullet"/>
        <w:ind w:left="360" w:hanging="360"/>
      </w:pPr>
      <w:r>
        <w:rPr>
          <w:rFonts w:ascii="Calibri" w:hAnsi="Calibri"/>
          <w:color w:val="525866"/>
          <w:sz w:val="22"/>
        </w:rPr>
        <w:t>CEO Rick Wurster: "61% of affluent clients ages 25–44 say they prefer to consolidate their wealth and banking relationship." Households with $1–5M using only one firm jumped 11 ppts YoY to 22%.</w:t>
      </w:r>
      <w:r>
        <w:rPr>
          <w:rFonts w:ascii="Calibri" w:hAnsi="Calibri"/>
          <w:b/>
          <w:color w:val="525866"/>
          <w:sz w:val="22"/>
        </w:rPr>
        <w:t xml:space="preserve"> → Read-through: Consolidation trend directly supports AMP's integrated adviser model and long-term organic growth thesis.</w:t>
      </w:r>
    </w:p>
    <w:p>
      <w:pPr>
        <w:pStyle w:val="Heading3"/>
      </w:pPr>
      <w:r>
        <w:rPr>
          <w:rFonts w:ascii="Calibri" w:hAnsi="Calibri"/>
          <w:b/>
          <w:color w:val="3B4259"/>
          <w:sz w:val="24"/>
        </w:rPr>
        <w:t>Raymond James Financial (RJF) — Fiscal Q3 2026 Earnings (July 22, 2026)</w:t>
      </w:r>
    </w:p>
    <w:p>
      <w:r>
        <w:rPr>
          <w:rFonts w:ascii="Calibri" w:hAnsi="Calibri"/>
          <w:i/>
          <w:color w:val="525866"/>
          <w:sz w:val="22"/>
        </w:rPr>
        <w:t>Relevance: Very High (closest direct peer — adviser-led wealth management, fee-based assets, cash sweep, recruiting). Limitation: RJF's fiscal Q3 ends June 30, 2026 (same calendar quarter as AMP's Q2); RJF is more independent-contractor focused vs. AMP's employee/franchisee model.</w:t>
      </w:r>
    </w:p>
    <w:p>
      <w:pPr>
        <w:pStyle w:val="ListBullet"/>
        <w:ind w:left="360" w:hanging="360"/>
      </w:pPr>
      <w:r>
        <w:rPr>
          <w:rFonts w:ascii="Calibri" w:hAnsi="Calibri"/>
          <w:color w:val="525866"/>
          <w:sz w:val="22"/>
        </w:rPr>
        <w:t>Record $1.86T in client AUA (+18% YoY, +9% QoQ). Record $1.15T in fee-based assets (+22% YoY, +11% QoQ). Domestic net new assets of $21.7B (5.5% annualized growth rate).</w:t>
      </w:r>
      <w:r>
        <w:rPr>
          <w:rFonts w:ascii="Calibri" w:hAnsi="Calibri"/>
          <w:b/>
          <w:color w:val="525866"/>
          <w:sz w:val="22"/>
        </w:rPr>
        <w:t xml:space="preserve"> → Read-through: Strongest direct read-through for AMP's client asset and fee-based asset growth in Q2 2026.</w:t>
      </w:r>
    </w:p>
    <w:p>
      <w:pPr>
        <w:pStyle w:val="ListBullet"/>
        <w:ind w:left="360" w:hanging="360"/>
      </w:pPr>
      <w:r>
        <w:rPr>
          <w:rFonts w:ascii="Calibri" w:hAnsi="Calibri"/>
          <w:color w:val="525866"/>
          <w:sz w:val="22"/>
        </w:rPr>
        <w:t>Adviser recruiting: $156M in trailing 12-month production and ~$23B in client assets recruited in the quarter. YTD recruiting on pace to exceed fiscal 2025 record.</w:t>
      </w:r>
      <w:r>
        <w:rPr>
          <w:rFonts w:ascii="Calibri" w:hAnsi="Calibri"/>
          <w:b/>
          <w:color w:val="525866"/>
          <w:sz w:val="22"/>
        </w:rPr>
        <w:t xml:space="preserve"> → Read-through: Active recruiting market confirms AMP's pipeline commentary; however, AMP is deliberately restraining TA spend, so its recruiting numbers will likely be lower.</w:t>
      </w:r>
    </w:p>
    <w:p>
      <w:pPr>
        <w:pStyle w:val="ListBullet"/>
        <w:ind w:left="360" w:hanging="360"/>
      </w:pPr>
      <w:r>
        <w:rPr>
          <w:rFonts w:ascii="Calibri" w:hAnsi="Calibri"/>
          <w:color w:val="525866"/>
          <w:sz w:val="22"/>
        </w:rPr>
        <w:t>Cash sweep and enhanced savings balances: $58.8B (+2% QoQ, +7% YoY). BDP fee yield increased 5 bps to 2.75%.</w:t>
      </w:r>
      <w:r>
        <w:rPr>
          <w:rFonts w:ascii="Calibri" w:hAnsi="Calibri"/>
          <w:b/>
          <w:color w:val="525866"/>
          <w:sz w:val="22"/>
        </w:rPr>
        <w:t xml:space="preserve"> → Read-through: Cash balances growing modestly at peers; AMP's $29.4B sweep balance likely stabilized or grew slightly in Q2 after Q1 seasonal dip.</w:t>
      </w:r>
    </w:p>
    <w:p>
      <w:pPr>
        <w:pStyle w:val="ListBullet"/>
        <w:ind w:left="360" w:hanging="360"/>
      </w:pPr>
      <w:r>
        <w:rPr>
          <w:rFonts w:ascii="Calibri" w:hAnsi="Calibri"/>
          <w:color w:val="525866"/>
          <w:sz w:val="22"/>
        </w:rPr>
        <w:t>Adjusted pre-tax margin of 19.9%, in line with ~20% guidance. Compensation ratio 65.5%, in line with ~65% target.</w:t>
      </w:r>
      <w:r>
        <w:rPr>
          <w:rFonts w:ascii="Calibri" w:hAnsi="Calibri"/>
          <w:b/>
          <w:color w:val="525866"/>
          <w:sz w:val="22"/>
        </w:rPr>
        <w:t xml:space="preserve"> → Read-through: Wealth management margins are holding despite investment spending — positive for AMP's AWM margin sustainability.</w:t>
      </w:r>
    </w:p>
    <w:p>
      <w:pPr>
        <w:pStyle w:val="ListBullet"/>
        <w:ind w:left="360" w:hanging="360"/>
      </w:pPr>
      <w:r>
        <w:rPr>
          <w:rFonts w:ascii="Calibri" w:hAnsi="Calibri"/>
          <w:color w:val="525866"/>
          <w:sz w:val="22"/>
        </w:rPr>
        <w:t>Legal expenses elevated due to "putative class action lawsuit related to cash sweep programs." RJF expects ongoing but lower legal expenses in future quarters.</w:t>
      </w:r>
      <w:r>
        <w:rPr>
          <w:rFonts w:ascii="Calibri" w:hAnsi="Calibri"/>
          <w:b/>
          <w:color w:val="525866"/>
          <w:sz w:val="22"/>
        </w:rPr>
        <w:t xml:space="preserve"> → Read-through: Industry-wide cash sweep litigation risk is a watch item for AMP, though AMP has not disclosed similar proceedings.</w:t>
      </w:r>
    </w:p>
    <w:p>
      <w:pPr>
        <w:pStyle w:val="ListBullet"/>
        <w:ind w:left="360" w:hanging="360"/>
      </w:pPr>
      <w:r>
        <w:rPr>
          <w:rFonts w:ascii="Calibri" w:hAnsi="Calibri"/>
          <w:color w:val="525866"/>
          <w:sz w:val="22"/>
        </w:rPr>
        <w:t>AI rollout: "Raymond" AI assistant deployed enterprise-wide June 15; 6,500 unique users, 99.5% satisfaction rate. CEO: "AI will not replace advisors. Advisors who use AI will replace advisors who do not use AI."</w:t>
      </w:r>
      <w:r>
        <w:rPr>
          <w:rFonts w:ascii="Calibri" w:hAnsi="Calibri"/>
          <w:b/>
          <w:color w:val="525866"/>
          <w:sz w:val="22"/>
        </w:rPr>
        <w:t xml:space="preserve"> → Read-through: AI adoption is accelerating across the industry; AMP's integrated platform narrative will be benchmarked against RJF's concrete metrics.</w:t>
      </w:r>
    </w:p>
    <w:p>
      <w:pPr>
        <w:pStyle w:val="ListBullet"/>
        <w:ind w:left="360" w:hanging="360"/>
      </w:pPr>
      <w:r>
        <w:rPr>
          <w:rFonts w:ascii="Calibri" w:hAnsi="Calibri"/>
          <w:color w:val="525866"/>
          <w:sz w:val="22"/>
        </w:rPr>
        <w:t>Forward outlook: Enters fiscal Q4 with "significant momentum" and "historically strong business drivers." Investment banking pipeline robust.</w:t>
      </w:r>
      <w:r>
        <w:rPr>
          <w:rFonts w:ascii="Calibri" w:hAnsi="Calibri"/>
          <w:b/>
          <w:color w:val="525866"/>
          <w:sz w:val="22"/>
        </w:rPr>
        <w:t xml:space="preserve"> → Read-through: Positive industry momentum heading into H2 2026.</w:t>
      </w:r>
    </w:p>
    <w:p>
      <w:pPr>
        <w:pStyle w:val="Heading3"/>
      </w:pPr>
      <w:r>
        <w:rPr>
          <w:rFonts w:ascii="Calibri" w:hAnsi="Calibri"/>
          <w:b/>
          <w:color w:val="3B4259"/>
          <w:sz w:val="24"/>
        </w:rPr>
        <w:t>Invesco (IVZ) — Bernstein Conference (May 27) &amp; Morgan Stanley Conference (June 10, 2026)</w:t>
      </w:r>
    </w:p>
    <w:p>
      <w:r>
        <w:rPr>
          <w:rFonts w:ascii="Calibri" w:hAnsi="Calibri"/>
          <w:i/>
          <w:color w:val="525866"/>
          <w:sz w:val="22"/>
        </w:rPr>
        <w:t>Relevance: Moderate (Asset management flows and product demand read-through for Columbia Threadneedle). Limitation: IVZ is a pure-play asset manager; AMP's AM segment is a minority of total earnings. IVZ's QQQ franchise is unique.</w:t>
      </w:r>
    </w:p>
    <w:p>
      <w:pPr>
        <w:pStyle w:val="ListBullet"/>
        <w:ind w:left="360" w:hanging="360"/>
      </w:pPr>
      <w:r>
        <w:rPr>
          <w:rFonts w:ascii="Calibri" w:hAnsi="Calibri"/>
          <w:color w:val="525866"/>
          <w:sz w:val="22"/>
        </w:rPr>
        <w:t>IVZ CFO (June 10): April inflows of $17–18B and May inflows of $19B — "over $35–36B of inflows to start the second quarter." QQQ turned back to positive flows (~$11B positive in first two months of Q2 after negative Q1).</w:t>
      </w:r>
      <w:r>
        <w:rPr>
          <w:rFonts w:ascii="Calibri" w:hAnsi="Calibri"/>
          <w:b/>
          <w:color w:val="525866"/>
          <w:sz w:val="22"/>
        </w:rPr>
        <w:t xml:space="preserve"> → Read-through: Broad-based industry inflows in April–May 2026 are a strong positive signal for Columbia Threadneedle's Q2 flow improvement.</w:t>
      </w:r>
    </w:p>
    <w:p>
      <w:pPr>
        <w:pStyle w:val="ListBullet"/>
        <w:ind w:left="360" w:hanging="360"/>
      </w:pPr>
      <w:r>
        <w:rPr>
          <w:rFonts w:ascii="Calibri" w:hAnsi="Calibri"/>
          <w:color w:val="525866"/>
          <w:sz w:val="22"/>
        </w:rPr>
        <w:t>IVZ CEO (May 27): "Money is continuing to get put to work. Money is in motion." ~20% of individual portfolios still in cash — significant deployment opportunity.</w:t>
      </w:r>
      <w:r>
        <w:rPr>
          <w:rFonts w:ascii="Calibri" w:hAnsi="Calibri"/>
          <w:b/>
          <w:color w:val="525866"/>
          <w:sz w:val="22"/>
        </w:rPr>
        <w:t xml:space="preserve"> → Read-through: Large cash overhang represents a multi-quarter tailwind for AMP's wrap account and managed product flows.</w:t>
      </w:r>
    </w:p>
    <w:p>
      <w:pPr>
        <w:pStyle w:val="ListBullet"/>
        <w:ind w:left="360" w:hanging="360"/>
      </w:pPr>
      <w:r>
        <w:rPr>
          <w:rFonts w:ascii="Calibri" w:hAnsi="Calibri"/>
          <w:color w:val="525866"/>
          <w:sz w:val="22"/>
        </w:rPr>
        <w:t>IVZ Q1 operating margin of 34.5% (+300 bps YoY); targeting high-30s over time. Alpha NextGen platform completion expected end of 2026, creating cost tailwinds in 2027.</w:t>
      </w:r>
      <w:r>
        <w:rPr>
          <w:rFonts w:ascii="Calibri" w:hAnsi="Calibri"/>
          <w:b/>
          <w:color w:val="525866"/>
          <w:sz w:val="22"/>
        </w:rPr>
        <w:t xml:space="preserve"> → Read-through: Asset management margin expansion is achievable through back-office transformation — consistent with AMP's Columbia Threadneedle transformation narrative.</w:t>
      </w:r>
    </w:p>
    <w:p>
      <w:pPr>
        <w:pStyle w:val="ListBullet"/>
        <w:ind w:left="360" w:hanging="360"/>
      </w:pPr>
      <w:r>
        <w:rPr>
          <w:rFonts w:ascii="Calibri" w:hAnsi="Calibri"/>
          <w:color w:val="525866"/>
          <w:sz w:val="22"/>
        </w:rPr>
        <w:t>Strong demand for fixed income, ETFs, and international strategies (China, Japan). Active ETF launches accelerating.</w:t>
      </w:r>
      <w:r>
        <w:rPr>
          <w:rFonts w:ascii="Calibri" w:hAnsi="Calibri"/>
          <w:b/>
          <w:color w:val="525866"/>
          <w:sz w:val="22"/>
        </w:rPr>
        <w:t xml:space="preserve"> → Read-through: Product mix tailwinds for active fixed income and international strategies benefit Columbia Threadneedle's institutional and retail channels.</w:t>
      </w:r>
    </w:p>
    <w:p>
      <w:pPr>
        <w:pStyle w:val="Heading3"/>
      </w:pPr>
      <w:r>
        <w:rPr>
          <w:rFonts w:ascii="Calibri" w:hAnsi="Calibri"/>
          <w:b/>
          <w:color w:val="3B4259"/>
          <w:sz w:val="24"/>
        </w:rPr>
        <w:t>Victory Capital (VCTR) — Q2 2026 AUM Update (July 13, 2026)</w:t>
      </w:r>
    </w:p>
    <w:p>
      <w:r>
        <w:rPr>
          <w:rFonts w:ascii="Calibri" w:hAnsi="Calibri"/>
          <w:i/>
          <w:color w:val="525866"/>
          <w:sz w:val="22"/>
        </w:rPr>
        <w:t>Relevance: Moderate (Asset management flows and AUM growth read-through). Limitation: VCTR is a smaller, more niche asset manager; limited overlap with AMP's product mix.</w:t>
      </w:r>
    </w:p>
    <w:p>
      <w:pPr>
        <w:pStyle w:val="ListBullet"/>
        <w:ind w:left="360" w:hanging="360"/>
      </w:pPr>
      <w:r>
        <w:rPr>
          <w:rFonts w:ascii="Calibri" w:hAnsi="Calibri"/>
          <w:color w:val="525866"/>
          <w:sz w:val="22"/>
        </w:rPr>
        <w:t>Total AUM of $342.4B as of June 30, 2026. Long-term AUM net inflows of $4.2B in Q2.</w:t>
      </w:r>
      <w:r>
        <w:rPr>
          <w:rFonts w:ascii="Calibri" w:hAnsi="Calibri"/>
          <w:b/>
          <w:color w:val="525866"/>
          <w:sz w:val="22"/>
        </w:rPr>
        <w:t xml:space="preserve"> → Read-through: Positive long-term net inflows at a mid-size asset manager confirm broad industry demand for investment products in Q2.</w:t>
      </w:r>
    </w:p>
    <w:p>
      <w:pPr>
        <w:pStyle w:val="ListBullet"/>
        <w:ind w:left="360" w:hanging="360"/>
      </w:pPr>
      <w:r>
        <w:rPr>
          <w:rFonts w:ascii="Calibri" w:hAnsi="Calibri"/>
          <w:color w:val="525866"/>
          <w:sz w:val="22"/>
        </w:rPr>
        <w:t>AUM growth across fixed income (+$2.2B), solutions (+$1.1B), global/non-U.S. equity (+$0.7B), and alternatives (+$0.1B). ETF AUM grew to $19.2B from $18.5B.</w:t>
      </w:r>
      <w:r>
        <w:rPr>
          <w:rFonts w:ascii="Calibri" w:hAnsi="Calibri"/>
          <w:b/>
          <w:color w:val="525866"/>
          <w:sz w:val="22"/>
        </w:rPr>
        <w:t xml:space="preserve"> → Read-through: Diversified product demand is positive for Columbia Threadneedle's multi-asset and fixed income capabilities.</w:t>
      </w:r>
    </w:p>
    <w:p>
      <w:pPr>
        <w:pStyle w:val="Heading3"/>
      </w:pPr>
      <w:r>
        <w:rPr>
          <w:rFonts w:ascii="Calibri" w:hAnsi="Calibri"/>
          <w:b/>
          <w:color w:val="3B4259"/>
          <w:sz w:val="24"/>
        </w:rPr>
        <w:t>Principal Financial (PFG) — Q2 2026 AUM Disclosure (July 20, 2026)</w:t>
      </w:r>
    </w:p>
    <w:p>
      <w:r>
        <w:rPr>
          <w:rFonts w:ascii="Calibri" w:hAnsi="Calibri"/>
          <w:i/>
          <w:color w:val="525866"/>
          <w:sz w:val="22"/>
        </w:rPr>
        <w:t>Relevance: Low-to-Moderate (AUM market performance read-through). Limitation: PFG's AUM disclosure is high-level and does not include flow detail or margin commentary.</w:t>
      </w:r>
    </w:p>
    <w:p>
      <w:pPr>
        <w:pStyle w:val="ListBullet"/>
        <w:ind w:left="360" w:hanging="360"/>
      </w:pPr>
      <w:r>
        <w:rPr>
          <w:rFonts w:ascii="Calibri" w:hAnsi="Calibri"/>
          <w:color w:val="525866"/>
          <w:sz w:val="22"/>
        </w:rPr>
        <w:t>Total AUM of $808B as of June 30, 2026. Q2 market performance and FX had a +6.4% positive impact on AUM as a percentage of beginning period AUM.</w:t>
      </w:r>
      <w:r>
        <w:rPr>
          <w:rFonts w:ascii="Calibri" w:hAnsi="Calibri"/>
          <w:b/>
          <w:color w:val="525866"/>
          <w:sz w:val="22"/>
        </w:rPr>
        <w:t xml:space="preserve"> → Read-through: Confirms a strongly positive market performance environment in Q2 2026, which should drive meaningful AUM appreciation for AMP's $1.7T in total client assets.</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or discretionary sales were identified in the review period. All recent Form 4 filings reflect routine phantom stock conversions and associated tax withholding transactions — nothing that signals unusual insider conviction or concern heading into the print.</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William J. Williams</w:t>
            </w:r>
          </w:p>
        </w:tc>
        <w:tc>
          <w:tcPr>
            <w:tcW w:type="dxa" w:w="1440"/>
          </w:tcPr>
          <w:p>
            <w:r>
              <w:rPr>
                <w:rFonts w:ascii="Calibri" w:hAnsi="Calibri"/>
                <w:sz w:val="22"/>
              </w:rPr>
              <w:t>Pres., Wealth Mgmt Advisor Group</w:t>
            </w:r>
          </w:p>
        </w:tc>
        <w:tc>
          <w:tcPr>
            <w:tcW w:type="dxa" w:w="1440"/>
          </w:tcPr>
          <w:p>
            <w:r>
              <w:rPr>
                <w:rFonts w:ascii="Calibri" w:hAnsi="Calibri"/>
                <w:sz w:val="22"/>
              </w:rPr>
              <w:t>Phantom Stock Conversion + Tax Withholding (Code M/F)</w:t>
            </w:r>
          </w:p>
        </w:tc>
        <w:tc>
          <w:tcPr>
            <w:tcW w:type="dxa" w:w="1440"/>
          </w:tcPr>
          <w:p>
            <w:r>
              <w:rPr>
                <w:rFonts w:ascii="Calibri" w:hAnsi="Calibri"/>
                <w:sz w:val="22"/>
              </w:rPr>
              <w:t>~$12,000 (tax withholding only)</w:t>
            </w:r>
          </w:p>
        </w:tc>
        <w:tc>
          <w:tcPr>
            <w:tcW w:type="dxa" w:w="1440"/>
          </w:tcPr>
          <w:p>
            <w:r>
              <w:rPr>
                <w:rFonts w:ascii="Calibri" w:hAnsi="Calibri"/>
                <w:sz w:val="22"/>
              </w:rPr>
              <w:t>Jul 9, 2026</w:t>
            </w:r>
          </w:p>
        </w:tc>
        <w:tc>
          <w:tcPr>
            <w:tcW w:type="dxa" w:w="1440"/>
          </w:tcPr>
          <w:p>
            <w:r>
              <w:rPr>
                <w:rFonts w:ascii="Calibri" w:hAnsi="Calibri"/>
                <w:sz w:val="22"/>
              </w:rPr>
              <w:t>Routine deferred compensation plan conversion; not an open-market transaction</w:t>
            </w:r>
          </w:p>
        </w:tc>
      </w:tr>
      <w:tr>
        <w:tc>
          <w:tcPr>
            <w:tcW w:type="dxa" w:w="1440"/>
          </w:tcPr>
          <w:p>
            <w:r>
              <w:rPr>
                <w:rFonts w:ascii="Calibri" w:hAnsi="Calibri"/>
                <w:sz w:val="22"/>
              </w:rPr>
              <w:t>Kelli A. Hunter Petruzillo</w:t>
            </w:r>
          </w:p>
        </w:tc>
        <w:tc>
          <w:tcPr>
            <w:tcW w:type="dxa" w:w="1440"/>
          </w:tcPr>
          <w:p>
            <w:r>
              <w:rPr>
                <w:rFonts w:ascii="Calibri" w:hAnsi="Calibri"/>
                <w:sz w:val="22"/>
              </w:rPr>
              <w:t>EVP, Human Resources</w:t>
            </w:r>
          </w:p>
        </w:tc>
        <w:tc>
          <w:tcPr>
            <w:tcW w:type="dxa" w:w="1440"/>
          </w:tcPr>
          <w:p>
            <w:r>
              <w:rPr>
                <w:rFonts w:ascii="Calibri" w:hAnsi="Calibri"/>
                <w:sz w:val="22"/>
              </w:rPr>
              <w:t>Phantom Stock Conversion + Tax Withholding (Code M/F)</w:t>
            </w:r>
          </w:p>
        </w:tc>
        <w:tc>
          <w:tcPr>
            <w:tcW w:type="dxa" w:w="1440"/>
          </w:tcPr>
          <w:p>
            <w:r>
              <w:rPr>
                <w:rFonts w:ascii="Calibri" w:hAnsi="Calibri"/>
                <w:sz w:val="22"/>
              </w:rPr>
              <w:t>~$49,000 (tax withholding only)</w:t>
            </w:r>
          </w:p>
        </w:tc>
        <w:tc>
          <w:tcPr>
            <w:tcW w:type="dxa" w:w="1440"/>
          </w:tcPr>
          <w:p>
            <w:r>
              <w:rPr>
                <w:rFonts w:ascii="Calibri" w:hAnsi="Calibri"/>
                <w:sz w:val="22"/>
              </w:rPr>
              <w:t>Jul 9, 2026</w:t>
            </w:r>
          </w:p>
        </w:tc>
        <w:tc>
          <w:tcPr>
            <w:tcW w:type="dxa" w:w="1440"/>
          </w:tcPr>
          <w:p>
            <w:r>
              <w:rPr>
                <w:rFonts w:ascii="Calibri" w:hAnsi="Calibri"/>
                <w:sz w:val="22"/>
              </w:rPr>
              <w:t>Routine deferred compensation plan conversion; not an open-market transaction</w:t>
            </w:r>
          </w:p>
        </w:tc>
      </w:tr>
      <w:tr>
        <w:tc>
          <w:tcPr>
            <w:tcW w:type="dxa" w:w="1440"/>
          </w:tcPr>
          <w:p>
            <w:r>
              <w:rPr>
                <w:rFonts w:ascii="Calibri" w:hAnsi="Calibri"/>
                <w:sz w:val="22"/>
              </w:rPr>
              <w:t>William F. Truscott</w:t>
            </w:r>
          </w:p>
        </w:tc>
        <w:tc>
          <w:tcPr>
            <w:tcW w:type="dxa" w:w="1440"/>
          </w:tcPr>
          <w:p>
            <w:r>
              <w:rPr>
                <w:rFonts w:ascii="Calibri" w:hAnsi="Calibri"/>
                <w:sz w:val="22"/>
              </w:rPr>
              <w:t>CEO, Global Asset Management</w:t>
            </w:r>
          </w:p>
        </w:tc>
        <w:tc>
          <w:tcPr>
            <w:tcW w:type="dxa" w:w="1440"/>
          </w:tcPr>
          <w:p>
            <w:r>
              <w:rPr>
                <w:rFonts w:ascii="Calibri" w:hAnsi="Calibri"/>
                <w:sz w:val="22"/>
              </w:rPr>
              <w:t>Phantom Stock Conversion + Tax Withholding (Code M/F)</w:t>
            </w:r>
          </w:p>
        </w:tc>
        <w:tc>
          <w:tcPr>
            <w:tcW w:type="dxa" w:w="1440"/>
          </w:tcPr>
          <w:p>
            <w:r>
              <w:rPr>
                <w:rFonts w:ascii="Calibri" w:hAnsi="Calibri"/>
                <w:sz w:val="22"/>
              </w:rPr>
              <w:t>~$90,000 (tax withholding only)</w:t>
            </w:r>
          </w:p>
        </w:tc>
        <w:tc>
          <w:tcPr>
            <w:tcW w:type="dxa" w:w="1440"/>
          </w:tcPr>
          <w:p>
            <w:r>
              <w:rPr>
                <w:rFonts w:ascii="Calibri" w:hAnsi="Calibri"/>
                <w:sz w:val="22"/>
              </w:rPr>
              <w:t>Jul 9, 2026</w:t>
            </w:r>
          </w:p>
        </w:tc>
        <w:tc>
          <w:tcPr>
            <w:tcW w:type="dxa" w:w="1440"/>
          </w:tcPr>
          <w:p>
            <w:r>
              <w:rPr>
                <w:rFonts w:ascii="Calibri" w:hAnsi="Calibri"/>
                <w:sz w:val="22"/>
              </w:rPr>
              <w:t>Routine deferred compensation plan conversion; not an open-market transaction</w:t>
            </w:r>
          </w:p>
        </w:tc>
      </w:tr>
      <w:tr>
        <w:tc>
          <w:tcPr>
            <w:tcW w:type="dxa" w:w="1440"/>
          </w:tcPr>
          <w:p>
            <w:r>
              <w:rPr>
                <w:rFonts w:ascii="Calibri" w:hAnsi="Calibri"/>
                <w:sz w:val="22"/>
              </w:rPr>
              <w:t>Dawn M. Brockman</w:t>
            </w:r>
          </w:p>
        </w:tc>
        <w:tc>
          <w:tcPr>
            <w:tcW w:type="dxa" w:w="1440"/>
          </w:tcPr>
          <w:p>
            <w:r>
              <w:rPr>
                <w:rFonts w:ascii="Calibri" w:hAnsi="Calibri"/>
                <w:sz w:val="22"/>
              </w:rPr>
              <w:t>SVP &amp; Controller</w:t>
            </w:r>
          </w:p>
        </w:tc>
        <w:tc>
          <w:tcPr>
            <w:tcW w:type="dxa" w:w="1440"/>
          </w:tcPr>
          <w:p>
            <w:r>
              <w:rPr>
                <w:rFonts w:ascii="Calibri" w:hAnsi="Calibri"/>
                <w:sz w:val="22"/>
              </w:rPr>
              <w:t>Phantom Stock Conversion + Tax Withholding (Code M/F)</w:t>
            </w:r>
          </w:p>
        </w:tc>
        <w:tc>
          <w:tcPr>
            <w:tcW w:type="dxa" w:w="1440"/>
          </w:tcPr>
          <w:p>
            <w:r>
              <w:rPr>
                <w:rFonts w:ascii="Calibri" w:hAnsi="Calibri"/>
                <w:sz w:val="22"/>
              </w:rPr>
              <w:t>~$4,500 (tax withholding only)</w:t>
            </w:r>
          </w:p>
        </w:tc>
        <w:tc>
          <w:tcPr>
            <w:tcW w:type="dxa" w:w="1440"/>
          </w:tcPr>
          <w:p>
            <w:r>
              <w:rPr>
                <w:rFonts w:ascii="Calibri" w:hAnsi="Calibri"/>
                <w:sz w:val="22"/>
              </w:rPr>
              <w:t>Jul 9, 2026</w:t>
            </w:r>
          </w:p>
        </w:tc>
        <w:tc>
          <w:tcPr>
            <w:tcW w:type="dxa" w:w="1440"/>
          </w:tcPr>
          <w:p>
            <w:r>
              <w:rPr>
                <w:rFonts w:ascii="Calibri" w:hAnsi="Calibri"/>
                <w:sz w:val="22"/>
              </w:rPr>
              <w:t>Routine deferred compensation plan conversion; not an open-market transaction</w:t>
            </w:r>
          </w:p>
        </w:tc>
      </w:tr>
    </w:tbl>
    <w:p>
      <w:r>
        <w:rPr>
          <w:rFonts w:ascii="Calibri" w:hAnsi="Calibri"/>
          <w:i/>
          <w:color w:val="525866"/>
          <w:sz w:val="22"/>
        </w:rPr>
        <w:t>Source: SEC Form 4 filings (EDGAR). All transactions on July 9, 2026 are Code M (phantom stock conversion per Ameriprise Financial Deferred Compensation Plan) and Code F (tax withholding). No open-market buys (Code P) or discretionary sales (Code S) were identified in the review period. The absence of open-market activity is neither bullish nor bearish — it is consistent with the pre-earnings quiet period.</w:t>
      </w:r>
    </w:p>
    <w:p>
      <w:r>
        <w:br w:type="page"/>
      </w:r>
    </w:p>
    <w:p>
      <w:pPr>
        <w:pStyle w:val="Heading2"/>
      </w:pPr>
      <w:r>
        <w:rPr>
          <w:rFonts w:ascii="Calibri" w:hAnsi="Calibri"/>
          <w:b/>
          <w:color w:val="3B4259"/>
          <w:sz w:val="28"/>
        </w:rPr>
        <w:t>9. Key Risks &amp; Questions for the Call</w:t>
      </w:r>
    </w:p>
    <w:p>
      <w:r>
        <w:rPr>
          <w:rFonts w:ascii="Calibri" w:hAnsi="Calibri"/>
          <w:b/>
          <w:color w:val="525866"/>
          <w:sz w:val="22"/>
        </w:rPr>
        <w:t xml:space="preserve">Key Takeaway: </w:t>
      </w:r>
      <w:r>
        <w:rPr>
          <w:rFonts w:ascii="Calibri" w:hAnsi="Calibri"/>
          <w:color w:val="525866"/>
          <w:sz w:val="22"/>
        </w:rPr>
        <w:t>The three most important questions for the call are: (1) How bad were Comerica outflows in Q2 and what is the exit rate heading into Q3? (2) Is the recruiting pipeline actually accelerating, and what does the TA environment look like? (3) Can management provide any early Huntington onboarding signals for Q4?</w:t>
      </w:r>
    </w:p>
    <w:p>
      <w:pPr>
        <w:pStyle w:val="Heading3"/>
      </w:pPr>
      <w:r>
        <w:rPr>
          <w:rFonts w:ascii="Calibri" w:hAnsi="Calibri"/>
          <w:b/>
          <w:color w:val="3B4259"/>
          <w:sz w:val="24"/>
        </w:rPr>
        <w:t>Key Risks</w:t>
      </w:r>
    </w:p>
    <w:p>
      <w:pPr>
        <w:pStyle w:val="ListBullet"/>
        <w:ind w:left="360" w:hanging="360"/>
      </w:pPr>
      <w:r>
        <w:rPr>
          <w:rFonts w:ascii="Calibri" w:hAnsi="Calibri"/>
          <w:b/>
          <w:color w:val="525866"/>
          <w:sz w:val="22"/>
        </w:rPr>
        <w:t>Comerica Outflow Acceleration Risk:</w:t>
      </w:r>
      <w:r>
        <w:rPr>
          <w:rFonts w:ascii="Calibri" w:hAnsi="Calibri"/>
          <w:color w:val="525866"/>
          <w:sz w:val="22"/>
        </w:rPr>
        <w:t xml:space="preserve"> Management guided for Comerica-related outflows to "accelerate" in Q2 and Q3, with all $18B exiting by end of Q3. If the pace is faster than the ~$4–5B quarterly run-rate implied by consensus, reported net flows could disappoint materially even if underlying organic flows are healthy.</w:t>
      </w:r>
    </w:p>
    <w:p>
      <w:pPr>
        <w:pStyle w:val="ListBullet"/>
        <w:ind w:left="360" w:hanging="360"/>
      </w:pPr>
      <w:r>
        <w:rPr>
          <w:rFonts w:ascii="Calibri" w:hAnsi="Calibri"/>
          <w:b/>
          <w:color w:val="525866"/>
          <w:sz w:val="22"/>
        </w:rPr>
        <w:t>Recruiting Discipline vs. Market Share Risk:</w:t>
      </w:r>
      <w:r>
        <w:rPr>
          <w:rFonts w:ascii="Calibri" w:hAnsi="Calibri"/>
          <w:color w:val="525866"/>
          <w:sz w:val="22"/>
        </w:rPr>
        <w:t xml:space="preserve"> AMP is deliberately restraining transition assistance (TA) packages while competitors (LPL, Merrill, Raymond James) are aggressively recruiting. Only 61 advisers were recruited in Q1. If the "pickup in activity" management flagged for Q2 does not materialize, adviser count growth could stall and long-term organic growth targets could be at risk.</w:t>
      </w:r>
    </w:p>
    <w:p>
      <w:pPr>
        <w:pStyle w:val="ListBullet"/>
        <w:ind w:left="360" w:hanging="360"/>
      </w:pPr>
      <w:r>
        <w:rPr>
          <w:rFonts w:ascii="Calibri" w:hAnsi="Calibri"/>
          <w:b/>
          <w:color w:val="525866"/>
          <w:sz w:val="22"/>
        </w:rPr>
        <w:t>Cash Sweep / NII Sensitivity:</w:t>
      </w:r>
      <w:r>
        <w:rPr>
          <w:rFonts w:ascii="Calibri" w:hAnsi="Calibri"/>
          <w:color w:val="525866"/>
          <w:sz w:val="22"/>
        </w:rPr>
        <w:t xml:space="preserve"> AMP's $29.4B in cash sweep balances and $25.5B bank portfolio (4.6% yield, 4-year duration) are positioned for rate stability. Any unexpected Fed rate cuts or further cash migration to money market funds could pressure NII and bank earnings.</w:t>
      </w:r>
    </w:p>
    <w:p>
      <w:pPr>
        <w:pStyle w:val="ListBullet"/>
        <w:ind w:left="360" w:hanging="360"/>
      </w:pPr>
      <w:r>
        <w:rPr>
          <w:rFonts w:ascii="Calibri" w:hAnsi="Calibri"/>
          <w:b/>
          <w:color w:val="525866"/>
          <w:sz w:val="22"/>
        </w:rPr>
        <w:t>Asset Management Margin Normalization:</w:t>
      </w:r>
      <w:r>
        <w:rPr>
          <w:rFonts w:ascii="Calibri" w:hAnsi="Calibri"/>
          <w:color w:val="525866"/>
          <w:sz w:val="22"/>
        </w:rPr>
        <w:t xml:space="preserve"> The 44% AM margin in Q1 was well above the 35–39% target range. If the back-office transformation costs begin to flow through or performance fees decline, margins could compress toward the target range, creating a negative surprise.</w:t>
      </w:r>
    </w:p>
    <w:p>
      <w:pPr>
        <w:pStyle w:val="ListBullet"/>
        <w:ind w:left="360" w:hanging="360"/>
      </w:pPr>
      <w:r>
        <w:rPr>
          <w:rFonts w:ascii="Calibri" w:hAnsi="Calibri"/>
          <w:b/>
          <w:color w:val="525866"/>
          <w:sz w:val="22"/>
        </w:rPr>
        <w:t>Market Volatility Impact on Client Behavior:</w:t>
      </w:r>
      <w:r>
        <w:rPr>
          <w:rFonts w:ascii="Calibri" w:hAnsi="Calibri"/>
          <w:color w:val="525866"/>
          <w:sz w:val="22"/>
        </w:rPr>
        <w:t xml:space="preserve"> Management cited "more cautious client behavior" as a Q1 flow headwind. If equity market volatility re-emerges (Jamie Dimon warned markets are underestimating geopolitical and fiscal risks), clients may again defer investment decisions, pressuring wrap flows.</w:t>
      </w:r>
    </w:p>
    <w:p>
      <w:pPr>
        <w:pStyle w:val="ListBullet"/>
        <w:ind w:left="360" w:hanging="360"/>
      </w:pPr>
      <w:r>
        <w:rPr>
          <w:rFonts w:ascii="Calibri" w:hAnsi="Calibri"/>
          <w:b/>
          <w:color w:val="525866"/>
          <w:sz w:val="22"/>
        </w:rPr>
        <w:t>Huntington Onboarding Execution Risk:</w:t>
      </w:r>
      <w:r>
        <w:rPr>
          <w:rFonts w:ascii="Calibri" w:hAnsi="Calibri"/>
          <w:color w:val="525866"/>
          <w:sz w:val="22"/>
        </w:rPr>
        <w:t xml:space="preserve"> The Huntington partnership (~260 advisers, ~$28B assets) is expected to onboard in Q4 2026. Any delays or complications in the onboarding process could push the catalyst into 2027 and disappoint investors who have priced in the Q4 inflection.</w:t>
      </w:r>
    </w:p>
    <w:p>
      <w:pPr>
        <w:pStyle w:val="Heading3"/>
      </w:pPr>
      <w:r>
        <w:rPr>
          <w:rFonts w:ascii="Calibri" w:hAnsi="Calibri"/>
          <w:b/>
          <w:color w:val="3B4259"/>
          <w:sz w:val="24"/>
        </w:rPr>
        <w:t>Key Questions for Management</w:t>
      </w:r>
    </w:p>
    <w:p>
      <w:pPr>
        <w:pStyle w:val="ListNumber"/>
        <w:ind w:left="360" w:hanging="360"/>
      </w:pPr>
      <w:r>
        <w:rPr>
          <w:rFonts w:ascii="Calibri" w:hAnsi="Calibri"/>
          <w:color w:val="525866"/>
          <w:sz w:val="22"/>
        </w:rPr>
        <w:t>Comerica Exit Rate:</w:t>
      </w:r>
      <w:r>
        <w:rPr>
          <w:rFonts w:ascii="Calibri" w:hAnsi="Calibri"/>
          <w:color w:val="525866"/>
          <w:sz w:val="22"/>
        </w:rPr>
        <w:t xml:space="preserve"> How much of the $18B in Comerica assets exited in Q2, and what is the expected pace in Q3? Is the conversion still on track to complete by end of September?</w:t>
      </w:r>
    </w:p>
    <w:p>
      <w:pPr>
        <w:pStyle w:val="ListNumber"/>
        <w:ind w:left="360" w:hanging="360"/>
      </w:pPr>
      <w:r>
        <w:rPr>
          <w:rFonts w:ascii="Calibri" w:hAnsi="Calibri"/>
          <w:color w:val="525866"/>
          <w:sz w:val="22"/>
        </w:rPr>
        <w:t>Recruiting Pipeline:</w:t>
      </w:r>
      <w:r>
        <w:rPr>
          <w:rFonts w:ascii="Calibri" w:hAnsi="Calibri"/>
          <w:color w:val="525866"/>
          <w:sz w:val="22"/>
        </w:rPr>
        <w:t xml:space="preserve"> You flagged a "pickup in activity" for Q2 at the last call. How many advisers were recruited in Q2, and how does the pipeline look for H2? Has the TA environment in the market changed at all?</w:t>
      </w:r>
    </w:p>
    <w:p>
      <w:pPr>
        <w:pStyle w:val="ListNumber"/>
        <w:ind w:left="360" w:hanging="360"/>
      </w:pPr>
      <w:r>
        <w:rPr>
          <w:rFonts w:ascii="Calibri" w:hAnsi="Calibri"/>
          <w:color w:val="525866"/>
          <w:sz w:val="22"/>
        </w:rPr>
        <w:t>Huntington Onboarding:</w:t>
      </w:r>
      <w:r>
        <w:rPr>
          <w:rFonts w:ascii="Calibri" w:hAnsi="Calibri"/>
          <w:color w:val="525866"/>
          <w:sz w:val="22"/>
        </w:rPr>
        <w:t xml:space="preserve"> Can you provide any early signals on Huntington onboarding timing and asset conversion pace? Is Q4 still the right expectation for the bulk of the $28B?</w:t>
      </w:r>
    </w:p>
    <w:p>
      <w:pPr>
        <w:pStyle w:val="ListNumber"/>
        <w:ind w:left="360" w:hanging="360"/>
      </w:pPr>
      <w:r>
        <w:rPr>
          <w:rFonts w:ascii="Calibri" w:hAnsi="Calibri"/>
          <w:color w:val="525866"/>
          <w:sz w:val="22"/>
        </w:rPr>
        <w:t>Cash Sweep Dynamics:</w:t>
      </w:r>
      <w:r>
        <w:rPr>
          <w:rFonts w:ascii="Calibri" w:hAnsi="Calibri"/>
          <w:color w:val="525866"/>
          <w:sz w:val="22"/>
        </w:rPr>
        <w:t xml:space="preserve"> Did cash sweep balances recover seasonally in Q2 as expected after the Q1 tax-related dip? What is the current trajectory of cash migration from third-party money market funds back to the platform?</w:t>
      </w:r>
    </w:p>
    <w:p>
      <w:pPr>
        <w:pStyle w:val="ListNumber"/>
        <w:ind w:left="360" w:hanging="360"/>
      </w:pPr>
      <w:r>
        <w:rPr>
          <w:rFonts w:ascii="Calibri" w:hAnsi="Calibri"/>
          <w:color w:val="525866"/>
          <w:sz w:val="22"/>
        </w:rPr>
        <w:t>Asset Management Margin:</w:t>
      </w:r>
      <w:r>
        <w:rPr>
          <w:rFonts w:ascii="Calibri" w:hAnsi="Calibri"/>
          <w:color w:val="525866"/>
          <w:sz w:val="22"/>
        </w:rPr>
        <w:t xml:space="preserve"> The 44% AM margin in Q1 was well above target. Is this level sustainable in Q2, or should we expect normalization toward the 35–39% range as transformation costs flow through?</w:t>
      </w:r>
    </w:p>
    <w:p>
      <w:pPr>
        <w:pStyle w:val="ListNumber"/>
        <w:ind w:left="360" w:hanging="360"/>
      </w:pPr>
      <w:r>
        <w:rPr>
          <w:rFonts w:ascii="Calibri" w:hAnsi="Calibri"/>
          <w:color w:val="525866"/>
          <w:sz w:val="22"/>
        </w:rPr>
        <w:t>Capital Return:</w:t>
      </w:r>
      <w:r>
        <w:rPr>
          <w:rFonts w:ascii="Calibri" w:hAnsi="Calibri"/>
          <w:color w:val="525866"/>
          <w:sz w:val="22"/>
        </w:rPr>
        <w:t xml:space="preserve"> You repurchased 1.6M shares in Q1 at an average price of ~$470. With the stock now at ~$527, has the pace of buybacks moderated, or are you still finding the valuation attractive at current levels?</w:t>
      </w:r>
    </w:p>
    <w:p>
      <w:pPr>
        <w:pStyle w:val="ListNumber"/>
        <w:ind w:left="360" w:hanging="360"/>
      </w:pPr>
      <w:r>
        <w:rPr>
          <w:rFonts w:ascii="Calibri" w:hAnsi="Calibri"/>
          <w:color w:val="525866"/>
          <w:sz w:val="22"/>
        </w:rPr>
        <w:t>AI &amp; Technology:</w:t>
      </w:r>
      <w:r>
        <w:rPr>
          <w:rFonts w:ascii="Calibri" w:hAnsi="Calibri"/>
          <w:color w:val="525866"/>
          <w:sz w:val="22"/>
        </w:rPr>
        <w:t xml:space="preserve"> Peers like Raymond James have quantified AI adoption (6,500 users, 99.5% satisfaction). Can you provide any metrics on adviser adoption of your integrated AI tools and early productivity impacts?</w:t>
      </w:r>
    </w:p>
    <w:p>
      <w:pPr>
        <w:pStyle w:val="ListNumber"/>
        <w:ind w:left="360" w:hanging="360"/>
      </w:pPr>
      <w:r>
        <w:rPr>
          <w:rFonts w:ascii="Calibri" w:hAnsi="Calibri"/>
          <w:color w:val="525866"/>
          <w:sz w:val="22"/>
        </w:rPr>
        <w:t>Organic Growth Target:</w:t>
      </w:r>
      <w:r>
        <w:rPr>
          <w:rFonts w:ascii="Calibri" w:hAnsi="Calibri"/>
          <w:color w:val="525866"/>
          <w:sz w:val="22"/>
        </w:rPr>
        <w:t xml:space="preserve"> You maintained the 4–5% annualized organic growth target despite Q1 flows coming in well below that rate. With Comerica headwinds persisting through Q3, is the full-year target still achievable, or should we think about it as a 2027 run-rate goal?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