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vb-earnings-predictions--2026-07-22"/>
    <w:p>
      <w:pPr>
        <w:pStyle w:val="Heading1"/>
      </w:pPr>
      <w:r>
        <w:t xml:space="preserve">AVB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Core FFO/share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~$2.83 vs. cons $2.80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same-store residential revenue growth (YoY)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~+1.8% vs. cons +1.7%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~$781M vs. cons $778.7M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Core FFO/share guidance (the swing factor)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raised to ~$11.35 mid vs. cons $11.30 (FY2026 Core FFO)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same-store residential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low-end lifted, ~+1.6% mid vs. cons +1.7%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2H26 blended lease rate change / rent ramp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2H blended ~+2.5% vs. 1H ~+1.25% (2026)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A modest Core FFO beat plus a small full-year raise is the catalyst, but the upside is largely non-operational (buyback accretion + Q1 cost-timing) rather than accelerating organic growth. Implied back-half FFO is still ~flat YoY with SS revenue decelerating (mid ~+1.4-1.6%) and sticky opex, so out-period math limits how far estimates get revised up. With the stock near YTD highs (~</w:t>
            </w:r>
            <m:oMath>
              <m:r>
                <m:t>190</m:t>
              </m:r>
              <m:r>
                <m:rPr>
                  <m:sty m:val="p"/>
                </m:rPr>
                <m:t>−</m:t>
              </m:r>
              <m:r>
                <m:t>195</m:t>
              </m:r>
              <m:r>
                <m:rPr>
                  <m:sty m:val="p"/>
                </m:rPr>
                <m:t>,</m:t>
              </m:r>
              <m:r>
                <m:rPr>
                  <m:sty m:val="p"/>
                </m:rPr>
                <m:t>+</m:t>
              </m:r>
              <m:r>
                <m:t>18</m:t>
              </m:r>
            </m:oMath>
            <w:r>
              <w:t xml:space="preserve">196), the initial pop invites profit-taking and roughly half the day-1 gain fades over the week absent a bigger-than-expected guide.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2026-07-22T00:51:34Z</dcterms:created>
  <dcterms:modified xsi:type="dcterms:W3CDTF">2026-07-22T00:51:34Z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