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AvalonBay Communities (AVB) to build an earnings preview. Let me gather recent earnings, guidance, news, and peer context.Let me read the most recent earnings materials (Q1 2026) and get recent stock price and peer context.Let me read the Q1 2026 earnings call transcript for management's forward-looking commentary and check sector news.Let me pull AVB-specific news/analyst actions and the full-year 2026 guidance figure from the Q4 2025 release.I'll read the Q4 2025 release directly for the full-year 2026 guidance.Let me grab the Q2 2025 Core FFO per share for the year-over-year comparison, plus compute stock performance.# AvalonBay Communities (AVB) — Q2 2026 Earnings Preview</w:t>
      </w:r>
      <w:r>
        <w:t xml:space="preserve"> </w:t>
      </w:r>
      <w:r>
        <w:rPr>
          <w:b/>
          <w:bCs/>
        </w:rPr>
        <w:t xml:space="preserve">Report date: Wednesday, July 22, 2026 (after close; call typically 1:00 PM ET next day)</w:t>
      </w:r>
      <w:r>
        <w:t xml:space="preserve"> </w:t>
      </w:r>
      <w:r>
        <w:rPr>
          <w:i/>
          <w:iCs/>
        </w:rPr>
        <w:t xml:space="preserve">Prepared from AVB's Q1 2026 release/call, prior-quarter filings, and market data through July 21, 2026</w:t>
      </w:r>
    </w:p>
    <w:p>
      <w:r>
        <w:pict>
          <v:rect style="width:0;height:1.5pt" o:hralign="center" o:hrstd="t" o:hr="t"/>
        </w:pict>
      </w:r>
    </w:p>
    <w:bookmarkStart w:id="9" w:name="the-one-line-setup"/>
    <w:p>
      <w:pPr>
        <w:pStyle w:val="Heading2"/>
      </w:pPr>
      <w:r>
        <w:t xml:space="preserve">The one-line setup</w:t>
      </w:r>
    </w:p>
    <w:p>
      <w:pPr>
        <w:pStyle w:val="FirstParagraph"/>
      </w:pPr>
      <w:r>
        <w:t xml:space="preserve">AVB heads into its Q2 print with</w:t>
      </w:r>
      <w:r>
        <w:t xml:space="preserve"> </w:t>
      </w:r>
      <w:r>
        <w:rPr>
          <w:b/>
          <w:bCs/>
        </w:rPr>
        <w:t xml:space="preserve">operating momentum building into peak leasing season</w:t>
      </w:r>
      <w:r>
        <w:t xml:space="preserve"> </w:t>
      </w:r>
      <w:r>
        <w:t xml:space="preserve">but a</w:t>
      </w:r>
      <w:r>
        <w:t xml:space="preserve"> </w:t>
      </w:r>
      <w:r>
        <w:rPr>
          <w:b/>
          <w:bCs/>
        </w:rPr>
        <w:t xml:space="preserve">flat-to-2026 earnings story</w:t>
      </w:r>
      <w:r>
        <w:t xml:space="preserve"> </w:t>
      </w:r>
      <w:r>
        <w:t xml:space="preserve">— the key question is whether a strong Q1, accelerating rent change, and accretive buybacks are enough to prompt the</w:t>
      </w:r>
      <w:r>
        <w:t xml:space="preserve"> </w:t>
      </w:r>
      <w:r>
        <w:rPr>
          <w:b/>
          <w:bCs/>
        </w:rPr>
        <w:t xml:space="preserve">full-year guidance raise</w:t>
      </w:r>
      <w:r>
        <w:t xml:space="preserve"> </w:t>
      </w:r>
      <w:r>
        <w:t xml:space="preserve">that management explicitly deferred to this call.</w:t>
      </w:r>
    </w:p>
    <w:p>
      <w:r>
        <w:pict>
          <v:rect style="width:0;height:1.5pt" o:hralign="center" o:hrstd="t" o:hr="t"/>
        </w:pict>
      </w:r>
    </w:p>
    <w:bookmarkEnd w:id="9"/>
    <w:bookmarkStart w:id="10" w:name="Xad7d8bd4f8419e913f379d38f404ab6aba962e6"/>
    <w:p>
      <w:pPr>
        <w:pStyle w:val="Heading2"/>
      </w:pPr>
      <w:r>
        <w:t xml:space="preserve">1. What management guided for Q2 (the bar)</w:t>
      </w:r>
    </w:p>
    <w:p>
      <w:pPr>
        <w:pStyle w:val="FirstParagraph"/>
      </w:pPr>
      <w:r>
        <w:t xml:space="preserve">On the Q1 report, AVB set the following Q2 2026 outlook:</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Q2 2026 Guide (Low–High)</w:t>
            </w:r>
          </w:p>
        </w:tc>
        <w:tc>
          <w:tcPr/>
          <w:p>
            <w:pPr>
              <w:pStyle w:val="Compact"/>
            </w:pPr>
            <w:r>
              <w:t xml:space="preserve">Midpoint</w:t>
            </w:r>
          </w:p>
        </w:tc>
        <w:tc>
          <w:tcPr/>
          <w:p>
            <w:pPr>
              <w:pStyle w:val="Compact"/>
            </w:pPr>
            <w:r>
              <w:t xml:space="preserve">Q2 2025 Actual</w:t>
            </w:r>
          </w:p>
        </w:tc>
        <w:tc>
          <w:tcPr/>
          <w:p>
            <w:pPr>
              <w:pStyle w:val="Compact"/>
            </w:pPr>
            <w:r>
              <w:t xml:space="preserve">Implied YoY</w:t>
            </w:r>
          </w:p>
        </w:tc>
      </w:tr>
      <w:tr>
        <w:tc>
          <w:tcPr/>
          <w:p>
            <w:pPr>
              <w:pStyle w:val="Compact"/>
            </w:pPr>
            <w:r>
              <w:t xml:space="preserve">Core FFO/share</w:t>
            </w:r>
          </w:p>
        </w:tc>
        <w:tc>
          <w:tcPr/>
          <w:p>
            <w:pPr>
              <w:pStyle w:val="Compact"/>
            </w:pPr>
            <w:r>
              <w:t xml:space="preserve">$2.72 – $2.82</w:t>
            </w:r>
          </w:p>
        </w:tc>
        <w:tc>
          <w:tcPr/>
          <w:p>
            <w:pPr>
              <w:pStyle w:val="Compact"/>
            </w:pPr>
            <w:r>
              <w:rPr>
                <w:b/>
                <w:bCs/>
              </w:rPr>
              <w:t xml:space="preserve">$2.77</w:t>
            </w:r>
          </w:p>
        </w:tc>
        <w:tc>
          <w:tcPr/>
          <w:p>
            <w:pPr>
              <w:pStyle w:val="Compact"/>
            </w:pPr>
            <w:r>
              <w:t xml:space="preserve">$2.82</w:t>
            </w:r>
          </w:p>
        </w:tc>
        <w:tc>
          <w:tcPr/>
          <w:p>
            <w:pPr>
              <w:pStyle w:val="Compact"/>
            </w:pPr>
            <w:r>
              <w:rPr>
                <w:b/>
                <w:bCs/>
              </w:rPr>
              <w:t xml:space="preserve">–1.8%</w:t>
            </w:r>
          </w:p>
        </w:tc>
      </w:tr>
      <w:tr>
        <w:tc>
          <w:tcPr/>
          <w:p>
            <w:pPr>
              <w:pStyle w:val="Compact"/>
            </w:pPr>
            <w:r>
              <w:t xml:space="preserve">FFO/share</w:t>
            </w:r>
          </w:p>
        </w:tc>
        <w:tc>
          <w:tcPr/>
          <w:p>
            <w:pPr>
              <w:pStyle w:val="Compact"/>
            </w:pPr>
            <w:r>
              <w:t xml:space="preserve">$2.68 – $2.78</w:t>
            </w:r>
          </w:p>
        </w:tc>
        <w:tc>
          <w:tcPr/>
          <w:p>
            <w:pPr>
              <w:pStyle w:val="Compact"/>
            </w:pPr>
            <w:r>
              <w:t xml:space="preserve">$2.73</w:t>
            </w:r>
          </w:p>
        </w:tc>
        <w:tc>
          <w:tcPr/>
          <w:p>
            <w:pPr>
              <w:pStyle w:val="Compact"/>
            </w:pPr>
            <w:r>
              <w:t xml:space="preserve">$2.80</w:t>
            </w:r>
          </w:p>
        </w:tc>
        <w:tc>
          <w:tcPr/>
          <w:p>
            <w:pPr>
              <w:pStyle w:val="Compact"/>
            </w:pPr>
            <w:r>
              <w:t xml:space="preserve">–2.5%</w:t>
            </w:r>
          </w:p>
        </w:tc>
      </w:tr>
      <w:tr>
        <w:tc>
          <w:tcPr/>
          <w:p>
            <w:pPr>
              <w:pStyle w:val="Compact"/>
            </w:pPr>
            <w:r>
              <w:t xml:space="preserve">EPS (diluted)</w:t>
            </w:r>
          </w:p>
        </w:tc>
        <w:tc>
          <w:tcPr/>
          <w:p>
            <w:pPr>
              <w:pStyle w:val="Compact"/>
            </w:pPr>
            <w:r>
              <w:t xml:space="preserve">$1.23 – $1.33</w:t>
            </w:r>
          </w:p>
        </w:tc>
        <w:tc>
          <w:tcPr/>
          <w:p>
            <w:pPr>
              <w:pStyle w:val="Compact"/>
            </w:pPr>
            <w:r>
              <w:t xml:space="preserve">$1.28</w:t>
            </w:r>
          </w:p>
        </w:tc>
        <w:tc>
          <w:tcPr/>
          <w:p>
            <w:pPr>
              <w:pStyle w:val="Compact"/>
            </w:pPr>
            <w:r>
              <w:t xml:space="preserve">$1.88</w:t>
            </w:r>
          </w:p>
        </w:tc>
        <w:tc>
          <w:tcPr/>
          <w:p>
            <w:pPr>
              <w:pStyle w:val="Compact"/>
            </w:pPr>
            <w:r>
              <w:t xml:space="preserve">— (gain-on-sale timing)</w:t>
            </w:r>
          </w:p>
        </w:tc>
      </w:tr>
    </w:tbl>
    <w:p>
      <w:pPr>
        <w:pStyle w:val="BodyText"/>
      </w:pPr>
      <w:r>
        <w:t xml:space="preserve">Note the optics: **Q2 midpoint Core FFO of $2.77 is</w:t>
      </w:r>
      <w:r>
        <w:t xml:space="preserve"> </w:t>
      </w:r>
      <w:r>
        <w:rPr>
          <w:i/>
          <w:iCs/>
        </w:rPr>
        <w:t xml:space="preserve">down</w:t>
      </w:r>
      <w:r>
        <w:t xml:space="preserve"> </w:t>
      </w:r>
      <w:r>
        <w:t xml:space="preserve">sequentially from Q1's $2.83 and down YoY vs.</w:t>
      </w:r>
      <w:r>
        <w:t xml:space="preserve"> </w:t>
      </w:r>
      <m:oMath>
        <m:r>
          <m:t>2.82</m:t>
        </m:r>
        <m:r>
          <m:rPr>
            <m:sty m:val="p"/>
          </m:rPr>
          <m:t>.</m:t>
        </m:r>
        <m:r>
          <m:rPr>
            <m:sty m:val="p"/>
          </m:rPr>
          <m:t>*</m:t>
        </m:r>
        <m:r>
          <m:rPr>
            <m:sty m:val="p"/>
          </m:rPr>
          <m:t>*</m:t>
        </m:r>
        <m:r>
          <m:t>T</m:t>
        </m:r>
        <m:r>
          <m:t>h</m:t>
        </m:r>
        <m:r>
          <m:t>e</m:t>
        </m:r>
        <m:r>
          <m:t>b</m:t>
        </m:r>
        <m:r>
          <m:t>r</m:t>
        </m:r>
        <m:r>
          <m:t>i</m:t>
        </m:r>
        <m:r>
          <m:t>d</m:t>
        </m:r>
        <m:r>
          <m:t>g</m:t>
        </m:r>
        <m:r>
          <m:t>e</m:t>
        </m:r>
        <m:r>
          <m:t>m</m:t>
        </m:r>
        <m:r>
          <m:t>a</m:t>
        </m:r>
        <m:r>
          <m:t>n</m:t>
        </m:r>
        <m:r>
          <m:t>a</m:t>
        </m:r>
        <m:r>
          <m:t>g</m:t>
        </m:r>
        <m:r>
          <m:t>e</m:t>
        </m:r>
        <m:r>
          <m:t>m</m:t>
        </m:r>
        <m:r>
          <m:t>e</m:t>
        </m:r>
        <m:r>
          <m:t>n</m:t>
        </m:r>
        <m:r>
          <m:t>t</m:t>
        </m:r>
        <m:r>
          <m:t>l</m:t>
        </m:r>
        <m:r>
          <m:t>a</m:t>
        </m:r>
        <m:r>
          <m:t>i</m:t>
        </m:r>
        <m:r>
          <m:t>d</m:t>
        </m:r>
        <m:r>
          <m:t>o</m:t>
        </m:r>
        <m:r>
          <m:t>u</m:t>
        </m:r>
        <m:r>
          <m:t>t</m:t>
        </m:r>
        <m:r>
          <m:t>i</m:t>
        </m:r>
        <m:r>
          <m:t>s</m:t>
        </m:r>
        <m:r>
          <m:t>e</m:t>
        </m:r>
        <m:r>
          <m:t>n</m:t>
        </m:r>
        <m:r>
          <m:t>t</m:t>
        </m:r>
        <m:r>
          <m:t>i</m:t>
        </m:r>
        <m:r>
          <m:t>r</m:t>
        </m:r>
        <m:r>
          <m:t>e</m:t>
        </m:r>
        <m:r>
          <m:t>l</m:t>
        </m:r>
        <m:r>
          <m:t>y</m:t>
        </m:r>
        <m:r>
          <m:t>n</m:t>
        </m:r>
        <m:r>
          <m:t>o</m:t>
        </m:r>
        <m:r>
          <m:t>n</m:t>
        </m:r>
        <m:r>
          <m:rPr>
            <m:sty m:val="p"/>
          </m:rPr>
          <m:t>−</m:t>
        </m:r>
        <m:r>
          <m:t>o</m:t>
        </m:r>
        <m:r>
          <m:t>p</m:t>
        </m:r>
        <m:r>
          <m:t>e</m:t>
        </m:r>
        <m:r>
          <m:t>r</m:t>
        </m:r>
        <m:r>
          <m:t>a</m:t>
        </m:r>
        <m:r>
          <m:t>t</m:t>
        </m:r>
        <m:r>
          <m:t>i</m:t>
        </m:r>
        <m:r>
          <m:t>o</m:t>
        </m:r>
        <m:r>
          <m:t>n</m:t>
        </m:r>
        <m:r>
          <m:t>a</m:t>
        </m:r>
        <m:r>
          <m:t>l</m:t>
        </m:r>
        <m:r>
          <m:t>d</m:t>
        </m:r>
        <m:r>
          <m:t>r</m:t>
        </m:r>
        <m:r>
          <m:t>a</m:t>
        </m:r>
        <m:r>
          <m:t>g</m:t>
        </m:r>
        <m:r>
          <m:rPr>
            <m:sty m:val="p"/>
          </m:rPr>
          <m:t>—</m:t>
        </m:r>
        <m:r>
          <m:t>h</m:t>
        </m:r>
        <m:r>
          <m:t>i</m:t>
        </m:r>
        <m:r>
          <m:t>g</m:t>
        </m:r>
        <m:r>
          <m:t>h</m:t>
        </m:r>
        <m:r>
          <m:t>e</m:t>
        </m:r>
        <m:r>
          <m:t>r</m:t>
        </m:r>
        <m:r>
          <m:t>s</m:t>
        </m:r>
        <m:r>
          <m:t>a</m:t>
        </m:r>
        <m:r>
          <m:t>m</m:t>
        </m:r>
        <m:r>
          <m:t>e</m:t>
        </m:r>
        <m:r>
          <m:rPr>
            <m:sty m:val="p"/>
          </m:rPr>
          <m:t>−</m:t>
        </m:r>
        <m:r>
          <m:t>s</m:t>
        </m:r>
        <m:r>
          <m:t>t</m:t>
        </m:r>
        <m:r>
          <m:t>o</m:t>
        </m:r>
        <m:r>
          <m:t>r</m:t>
        </m:r>
        <m:r>
          <m:t>e</m:t>
        </m:r>
        <m:r>
          <m:t>o</m:t>
        </m:r>
        <m:r>
          <m:t>p</m:t>
        </m:r>
        <m:r>
          <m:t>e</m:t>
        </m:r>
        <m:r>
          <m:t>x</m:t>
        </m:r>
        <m:r>
          <m:rPr>
            <m:sty m:val="p"/>
          </m:rPr>
          <m:t>(</m:t>
        </m:r>
      </m:oMath>
      <w:r>
        <w:t xml:space="preserve">0.04), capital markets/transaction activity (</w:t>
      </w:r>
      <m:oMath>
        <m:r>
          <m:t>0.03</m:t>
        </m:r>
        <m:r>
          <m:rPr>
            <m:sty m:val="p"/>
          </m:rPr>
          <m:t>,</m:t>
        </m:r>
        <m:r>
          <m:t>m</m:t>
        </m:r>
        <m:r>
          <m:t>o</m:t>
        </m:r>
        <m:r>
          <m:t>s</m:t>
        </m:r>
        <m:r>
          <m:t>t</m:t>
        </m:r>
        <m:r>
          <m:t>l</m:t>
        </m:r>
        <m:r>
          <m:t>y</m:t>
        </m:r>
        <m:r>
          <m:t>t</m:t>
        </m:r>
        <m:r>
          <m:t>h</m:t>
        </m:r>
        <m:r>
          <m:t>e</m:t>
        </m:r>
        <m:r>
          <m:t>d</m:t>
        </m:r>
        <m:r>
          <m:t>i</m:t>
        </m:r>
        <m:r>
          <m:t>l</m:t>
        </m:r>
        <m:r>
          <m:t>u</m:t>
        </m:r>
        <m:r>
          <m:t>t</m:t>
        </m:r>
        <m:r>
          <m:t>i</m:t>
        </m:r>
        <m:r>
          <m:t>o</m:t>
        </m:r>
        <m:r>
          <m:t>n</m:t>
        </m:r>
        <m:r>
          <m:t>f</m:t>
        </m:r>
        <m:r>
          <m:t>r</m:t>
        </m:r>
        <m:r>
          <m:t>o</m:t>
        </m:r>
        <m:r>
          <m:t>m</m:t>
        </m:r>
        <m:r>
          <m:t>s</m:t>
        </m:r>
        <m:r>
          <m:t>e</m:t>
        </m:r>
        <m:r>
          <m:t>l</m:t>
        </m:r>
        <m:r>
          <m:t>l</m:t>
        </m:r>
        <m:r>
          <m:t>i</m:t>
        </m:r>
        <m:r>
          <m:t>n</m:t>
        </m:r>
        <m:r>
          <m:t>g</m:t>
        </m:r>
        <m:r>
          <m:t>a</m:t>
        </m:r>
        <m:r>
          <m:t>s</m:t>
        </m:r>
        <m:r>
          <m:t>s</m:t>
        </m:r>
        <m:r>
          <m:t>e</m:t>
        </m:r>
        <m:r>
          <m:t>t</m:t>
        </m:r>
        <m:r>
          <m:t>s</m:t>
        </m:r>
        <m:r>
          <m:t>f</m:t>
        </m:r>
        <m:r>
          <m:t>a</m:t>
        </m:r>
        <m:r>
          <m:t>s</m:t>
        </m:r>
        <m:r>
          <m:t>t</m:t>
        </m:r>
        <m:r>
          <m:t>e</m:t>
        </m:r>
        <m:r>
          <m:t>r</m:t>
        </m:r>
        <m:r>
          <m:t>t</m:t>
        </m:r>
        <m:r>
          <m:t>h</m:t>
        </m:r>
        <m:r>
          <m:t>a</m:t>
        </m:r>
        <m:r>
          <m:t>n</m:t>
        </m:r>
        <m:r>
          <m:t>r</m:t>
        </m:r>
        <m:r>
          <m:t>e</m:t>
        </m:r>
        <m:r>
          <m:t>d</m:t>
        </m:r>
        <m:r>
          <m:t>e</m:t>
        </m:r>
        <m:r>
          <m:t>p</m:t>
        </m:r>
        <m:r>
          <m:t>l</m:t>
        </m:r>
        <m:r>
          <m:t>o</m:t>
        </m:r>
        <m:r>
          <m:t>y</m:t>
        </m:r>
        <m:r>
          <m:t>i</m:t>
        </m:r>
        <m:r>
          <m:t>n</m:t>
        </m:r>
        <m:r>
          <m:t>g</m:t>
        </m:r>
        <m:r>
          <m:rPr>
            <m:sty m:val="p"/>
          </m:rPr>
          <m:t>)</m:t>
        </m:r>
        <m:r>
          <m:rPr>
            <m:sty m:val="p"/>
          </m:rPr>
          <m:t>,</m:t>
        </m:r>
        <m:r>
          <m:t>a</m:t>
        </m:r>
        <m:r>
          <m:t>n</m:t>
        </m:r>
        <m:r>
          <m:t>d</m:t>
        </m:r>
        <m:r>
          <m:t>o</m:t>
        </m:r>
        <m:r>
          <m:t>v</m:t>
        </m:r>
        <m:r>
          <m:t>e</m:t>
        </m:r>
        <m:r>
          <m:t>r</m:t>
        </m:r>
        <m:r>
          <m:t>h</m:t>
        </m:r>
        <m:r>
          <m:t>e</m:t>
        </m:r>
        <m:r>
          <m:t>a</m:t>
        </m:r>
        <m:r>
          <m:t>d</m:t>
        </m:r>
        <m:r>
          <m:rPr>
            <m:sty m:val="p"/>
          </m:rPr>
          <m:t>(</m:t>
        </m:r>
      </m:oMath>
      <w:r>
        <w:t xml:space="preserve">0.02) — partly offset by development NOI. This is</w:t>
      </w:r>
      <w:r>
        <w:t xml:space="preserve"> </w:t>
      </w:r>
      <w:r>
        <w:rPr>
          <w:b/>
          <w:bCs/>
        </w:rPr>
        <w:t xml:space="preserve">timing, not deterioration</w:t>
      </w:r>
      <w:r>
        <w:t xml:space="preserve">, but the headline number will look soft to anyone not reading the bridge.</w:t>
      </w:r>
    </w:p>
    <w:bookmarkEnd w:id="10"/>
    <w:bookmarkStart w:id="11" w:name="X66f69f6c2afc53c354b116fba157a956e39f4a8"/>
    <w:p>
      <w:pPr>
        <w:pStyle w:val="Heading2"/>
      </w:pPr>
      <w:r>
        <w:t xml:space="preserve">2. The real story: 2026 is a "flat earnings" year</w:t>
      </w:r>
    </w:p>
    <w:p>
      <w:pPr>
        <w:pStyle w:val="FirstParagraph"/>
      </w:pPr>
      <w:r>
        <w:t xml:space="preserve">Full-year 2026 guidance (affirmed on the Q1 call):</w:t>
      </w:r>
    </w:p>
    <w:p>
      <w:pPr>
        <w:pStyle w:val="Compact"/>
        <w:numPr>
          <w:ilvl w:val="0"/>
          <w:numId w:val="1001"/>
        </w:numPr>
      </w:pPr>
      <w:r>
        <w:rPr>
          <w:b/>
          <w:bCs/>
        </w:rPr>
        <w:t xml:space="preserve">Core FFO/share: $11.00 – $11.50 (midpoint $11.25)</w:t>
      </w:r>
      <w:r>
        <w:t xml:space="preserve"> </w:t>
      </w:r>
      <w:r>
        <w:t xml:space="preserve">— essentially</w:t>
      </w:r>
      <w:r>
        <w:t xml:space="preserve"> </w:t>
      </w:r>
      <w:r>
        <w:rPr>
          <w:b/>
          <w:bCs/>
        </w:rPr>
        <w:t xml:space="preserve">flat vs. 2025's $11.24 actual</w:t>
      </w:r>
      <w:r>
        <w:t xml:space="preserve">.</w:t>
      </w:r>
    </w:p>
    <w:p>
      <w:pPr>
        <w:pStyle w:val="Compact"/>
        <w:numPr>
          <w:ilvl w:val="0"/>
          <w:numId w:val="1001"/>
        </w:numPr>
      </w:pPr>
      <w:r>
        <w:t xml:space="preserve">FFO/share: $10.80 – $11.30. EPS</w:t>
      </w:r>
      <w:r>
        <w:t xml:space="preserve"> </w:t>
      </w:r>
      <w:r>
        <w:rPr>
          <w:b/>
          <w:bCs/>
        </w:rPr>
        <w:t xml:space="preserve">revised down to $5.92 – $6.42</w:t>
      </w:r>
      <w:r>
        <w:t xml:space="preserve"> </w:t>
      </w:r>
      <w:r>
        <w:t xml:space="preserve">(from</w:t>
      </w:r>
      <w:r>
        <w:t xml:space="preserve"> </w:t>
      </w:r>
      <m:oMath>
        <m:r>
          <m:t>6.33</m:t>
        </m:r>
        <m:r>
          <m:rPr>
            <m:sty m:val="p"/>
          </m:rPr>
          <m:t>–</m:t>
        </m:r>
      </m:oMath>
      <w:r>
        <w:t xml:space="preserve">6.83) purely on changes to the</w:t>
      </w:r>
      <w:r>
        <w:t xml:space="preserve"> </w:t>
      </w:r>
      <w:r>
        <w:rPr>
          <w:i/>
          <w:iCs/>
        </w:rPr>
        <w:t xml:space="preserve">composition/timing of planned dispositions</w:t>
      </w:r>
      <w:r>
        <w:t xml:space="preserve"> </w:t>
      </w:r>
      <w:r>
        <w:t xml:space="preserve">(gain-on-sale), not core operations.</w:t>
      </w:r>
    </w:p>
    <w:p>
      <w:pPr>
        <w:pStyle w:val="Compact"/>
        <w:numPr>
          <w:ilvl w:val="0"/>
          <w:numId w:val="1001"/>
        </w:numPr>
      </w:pPr>
      <w:r>
        <w:t xml:space="preserve">Same-store:</w:t>
      </w:r>
      <w:r>
        <w:t xml:space="preserve"> </w:t>
      </w:r>
      <w:r>
        <w:rPr>
          <w:b/>
          <w:bCs/>
        </w:rPr>
        <w:t xml:space="preserve">Residential revenue +0.4% to +2.4%</w:t>
      </w:r>
      <w:r>
        <w:t xml:space="preserve"> </w:t>
      </w:r>
      <w:r>
        <w:t xml:space="preserve">(mid ~+1.4%),</w:t>
      </w:r>
      <w:r>
        <w:t xml:space="preserve"> </w:t>
      </w:r>
      <w:r>
        <w:rPr>
          <w:b/>
          <w:bCs/>
        </w:rPr>
        <w:t xml:space="preserve">Opex +2.7% to +4.9%</w:t>
      </w:r>
      <w:r>
        <w:t xml:space="preserve">,</w:t>
      </w:r>
      <w:r>
        <w:t xml:space="preserve"> </w:t>
      </w:r>
      <w:r>
        <w:rPr>
          <w:b/>
          <w:bCs/>
        </w:rPr>
        <w:t xml:space="preserve">NOI –0.7% to +1.3%</w:t>
      </w:r>
      <w:r>
        <w:t xml:space="preserve"> </w:t>
      </w:r>
      <w:r>
        <w:t xml:space="preserve">(mid ~+0.3%).</w:t>
      </w:r>
    </w:p>
    <w:p>
      <w:pPr>
        <w:pStyle w:val="FirstParagraph"/>
      </w:pPr>
      <w:r>
        <w:t xml:space="preserve">Why flat? Same-store revenue is decelerating (2025 grew +2.5%; 2026 guided ~+1.4%), opex remains sticky, and the company is voluntarily trading near-term FFO (selling stabilized assets, buying back stock) for a better long-term growth/CapEx profile. The offset — and the bull case — is a</w:t>
      </w:r>
      <w:r>
        <w:t xml:space="preserve"> </w:t>
      </w:r>
      <w:r>
        <w:rPr>
          <w:b/>
          <w:bCs/>
        </w:rPr>
        <w:t xml:space="preserve">development NOI ramp from ~</w:t>
      </w:r>
      <m:oMath>
        <m:r>
          <m:t>47</m:t>
        </m:r>
        <m:r>
          <m:t>M</m:t>
        </m:r>
        <m:r>
          <m:t>i</m:t>
        </m:r>
        <m:r>
          <m:t>n</m:t>
        </m:r>
        <m:r>
          <m:t>2026</m:t>
        </m:r>
        <m:r>
          <m:t>t</m:t>
        </m:r>
        <m:r>
          <m:t>o</m:t>
        </m:r>
        <m:r>
          <m:t> </m:t>
        </m:r>
      </m:oMath>
      <w:r>
        <w:rPr>
          <w:b/>
          <w:bCs/>
        </w:rPr>
        <w:t xml:space="preserve">120M in 2027</w:t>
      </w:r>
      <w:r>
        <w:t xml:space="preserve">.</w:t>
      </w:r>
    </w:p>
    <w:p>
      <w:pPr>
        <w:pStyle w:val="BodyText"/>
      </w:pPr>
      <w:r>
        <w:rPr>
          <w:b/>
          <w:bCs/>
        </w:rPr>
        <w:t xml:space="preserve">Watch for:</w:t>
      </w:r>
      <w:r>
        <w:t xml:space="preserve"> </w:t>
      </w:r>
      <w:r>
        <w:t xml:space="preserve">Whether management raises the full-year Core FFO range. On the Q1 call, CFO Kevin O'Shea said full-year earnings were "tracking modestly ahead" of plan (Q1 beat + ~$0.02 from buybacks) but chose to</w:t>
      </w:r>
      <w:r>
        <w:t xml:space="preserve"> </w:t>
      </w:r>
      <w:r>
        <w:rPr>
          <w:b/>
          <w:bCs/>
        </w:rPr>
        <w:t xml:space="preserve">affirm and "revisit on the Q2 call when we'll have a much better read on peak leasing season."</w:t>
      </w:r>
      <w:r>
        <w:t xml:space="preserve"> </w:t>
      </w:r>
      <w:r>
        <w:t xml:space="preserve">A raise is arguably the single biggest catalyst; a second consecutive "affirm" despite a good start could disappoint.</w:t>
      </w:r>
    </w:p>
    <w:bookmarkEnd w:id="11"/>
    <w:bookmarkStart w:id="12" w:name="Xcbd3194cd2944d7fb7642c07cb6961814f646f0"/>
    <w:p>
      <w:pPr>
        <w:pStyle w:val="Heading2"/>
      </w:pPr>
      <w:r>
        <w:t xml:space="preserve">3. Operating trends — is the rent-change ramp materializing?</w:t>
      </w:r>
    </w:p>
    <w:p>
      <w:pPr>
        <w:pStyle w:val="FirstParagraph"/>
      </w:pPr>
      <w:r>
        <w:t xml:space="preserve">This is the crux. AVB's full-year model assumes</w:t>
      </w:r>
      <w:r>
        <w:t xml:space="preserve"> </w:t>
      </w:r>
      <w:r>
        <w:rPr>
          <w:b/>
          <w:bCs/>
        </w:rPr>
        <w:t xml:space="preserve">blended lease rate growth of ~2%</w:t>
      </w:r>
      <w:r>
        <w:t xml:space="preserve"> </w:t>
      </w:r>
      <w:r>
        <w:t xml:space="preserve">(first half ~1.25%, second half ~2.5%), built on</w:t>
      </w:r>
      <w:r>
        <w:t xml:space="preserve"> </w:t>
      </w:r>
      <w:r>
        <w:rPr>
          <w:b/>
          <w:bCs/>
        </w:rPr>
        <w:t xml:space="preserve">new-lease change ~0%</w:t>
      </w:r>
      <w:r>
        <w:t xml:space="preserve"> </w:t>
      </w:r>
      <w:r>
        <w:t xml:space="preserve">and</w:t>
      </w:r>
      <w:r>
        <w:t xml:space="preserve"> </w:t>
      </w:r>
      <w:r>
        <w:rPr>
          <w:b/>
          <w:bCs/>
        </w:rPr>
        <w:t xml:space="preserve">renewals ~3.5%</w:t>
      </w:r>
      <w:r>
        <w:t xml:space="preserve">. Trajectory entering Q2 was encouraging:</w:t>
      </w:r>
    </w:p>
    <w:p>
      <w:pPr>
        <w:pStyle w:val="Compact"/>
        <w:numPr>
          <w:ilvl w:val="0"/>
          <w:numId w:val="1002"/>
        </w:numPr>
      </w:pPr>
      <w:r>
        <w:rPr>
          <w:b/>
          <w:bCs/>
        </w:rPr>
        <w:t xml:space="preserve">Blended like-term rent change:</w:t>
      </w:r>
      <w:r>
        <w:t xml:space="preserve"> </w:t>
      </w:r>
      <w:r>
        <w:t xml:space="preserve">Q4 2025 –0.3% → Q1 2026 +0.4% →</w:t>
      </w:r>
      <w:r>
        <w:t xml:space="preserve"> </w:t>
      </w:r>
      <w:r>
        <w:rPr>
          <w:b/>
          <w:bCs/>
        </w:rPr>
        <w:t xml:space="preserve">April +1.9%</w:t>
      </w:r>
      <w:r>
        <w:t xml:space="preserve"> </w:t>
      </w:r>
      <w:r>
        <w:t xml:space="preserve">(a ~260 bps ramp since January).</w:t>
      </w:r>
    </w:p>
    <w:p>
      <w:pPr>
        <w:pStyle w:val="Compact"/>
        <w:numPr>
          <w:ilvl w:val="0"/>
          <w:numId w:val="1002"/>
        </w:numPr>
      </w:pPr>
      <w:r>
        <w:t xml:space="preserve">April split:</w:t>
      </w:r>
      <w:r>
        <w:t xml:space="preserve"> </w:t>
      </w:r>
      <w:r>
        <w:rPr>
          <w:b/>
          <w:bCs/>
        </w:rPr>
        <w:t xml:space="preserve">new move-ins –0.2%</w:t>
      </w:r>
      <w:r>
        <w:t xml:space="preserve">,</w:t>
      </w:r>
      <w:r>
        <w:t xml:space="preserve"> </w:t>
      </w:r>
      <w:r>
        <w:rPr>
          <w:b/>
          <w:bCs/>
        </w:rPr>
        <w:t xml:space="preserve">renewals +3.8%</w:t>
      </w:r>
      <w:r>
        <w:t xml:space="preserve">.</w:t>
      </w:r>
    </w:p>
    <w:p>
      <w:pPr>
        <w:pStyle w:val="Compact"/>
        <w:numPr>
          <w:ilvl w:val="0"/>
          <w:numId w:val="1002"/>
        </w:numPr>
      </w:pPr>
      <w:r>
        <w:rPr>
          <w:b/>
          <w:bCs/>
        </w:rPr>
        <w:t xml:space="preserve">Renewal offers sent for May/June averaged 5.0–5.5%</w:t>
      </w:r>
      <w:r>
        <w:t xml:space="preserve"> </w:t>
      </w:r>
      <w:r>
        <w:t xml:space="preserve">— about 100 bps above Feb/March offers.</w:t>
      </w:r>
    </w:p>
    <w:p>
      <w:pPr>
        <w:pStyle w:val="Compact"/>
        <w:numPr>
          <w:ilvl w:val="0"/>
          <w:numId w:val="1002"/>
        </w:numPr>
      </w:pPr>
      <w:r>
        <w:rPr>
          <w:b/>
          <w:bCs/>
        </w:rPr>
        <w:t xml:space="preserve">Occupancy 96.1%</w:t>
      </w:r>
      <w:r>
        <w:t xml:space="preserve"> </w:t>
      </w:r>
      <w:r>
        <w:t xml:space="preserve">in Q1, trending "modestly ahead of budget";</w:t>
      </w:r>
      <w:r>
        <w:t xml:space="preserve"> </w:t>
      </w:r>
      <w:r>
        <w:rPr>
          <w:b/>
          <w:bCs/>
        </w:rPr>
        <w:t xml:space="preserve">turnover a historically low ~31.6%</w:t>
      </w:r>
      <w:r>
        <w:t xml:space="preserve">, with only</w:t>
      </w:r>
      <w:r>
        <w:t xml:space="preserve"> </w:t>
      </w:r>
      <w:r>
        <w:rPr>
          <w:b/>
          <w:bCs/>
        </w:rPr>
        <w:t xml:space="preserve">8% of move-outs going to buy a home</w:t>
      </w:r>
      <w:r>
        <w:t xml:space="preserve">.</w:t>
      </w:r>
    </w:p>
    <w:p>
      <w:pPr>
        <w:pStyle w:val="FirstParagraph"/>
      </w:pPr>
      <w:r>
        <w:rPr>
          <w:b/>
          <w:bCs/>
        </w:rPr>
        <w:t xml:space="preserve">Watch for:</w:t>
      </w:r>
      <w:r>
        <w:t xml:space="preserve"> </w:t>
      </w:r>
      <w:r>
        <w:t xml:space="preserve">the Q2 blended number (does it hit the ~1.25% first-half mark or beat?), the new-lease vs. renewal split, occupancy, and whether the low-turnover / low-move-out-to-buy dynamic holds. Also watch concessions, which management characterized as regional (elevated in Boston/Seattle/LA/Denver, minimal in NY Metro/N. California).</w:t>
      </w:r>
    </w:p>
    <w:p>
      <w:pPr>
        <w:pStyle w:val="BodyText"/>
      </w:pPr>
      <w:r>
        <w:rPr>
          <w:b/>
          <w:bCs/>
        </w:rPr>
        <w:t xml:space="preserve">Regional scorecard to update:</w:t>
      </w:r>
    </w:p>
    <w:p>
      <w:pPr>
        <w:pStyle w:val="Compact"/>
        <w:numPr>
          <w:ilvl w:val="0"/>
          <w:numId w:val="1003"/>
        </w:numPr>
      </w:pPr>
      <w:r>
        <w:rPr>
          <w:b/>
          <w:bCs/>
        </w:rPr>
        <w:t xml:space="preserve">Strongest:</w:t>
      </w:r>
      <w:r>
        <w:t xml:space="preserve"> </w:t>
      </w:r>
      <w:r>
        <w:t xml:space="preserve">New York Metro (NYC + Northern NJ) and Northern California (San Francisco leading, spilling into East Bay).</w:t>
      </w:r>
    </w:p>
    <w:p>
      <w:pPr>
        <w:pStyle w:val="Compact"/>
        <w:numPr>
          <w:ilvl w:val="0"/>
          <w:numId w:val="1003"/>
        </w:numPr>
      </w:pPr>
      <w:r>
        <w:rPr>
          <w:b/>
          <w:bCs/>
        </w:rPr>
        <w:t xml:space="preserve">Stabilizing:</w:t>
      </w:r>
      <w:r>
        <w:t xml:space="preserve"> </w:t>
      </w:r>
      <w:r>
        <w:t xml:space="preserve">Mid-Atlantic / DC — management said it "feels a little better" as job-cut fears fade, though "not turned the corner just yet."</w:t>
      </w:r>
    </w:p>
    <w:p>
      <w:pPr>
        <w:pStyle w:val="Compact"/>
        <w:numPr>
          <w:ilvl w:val="0"/>
          <w:numId w:val="1003"/>
        </w:numPr>
      </w:pPr>
      <w:r>
        <w:rPr>
          <w:b/>
          <w:bCs/>
        </w:rPr>
        <w:t xml:space="preserve">Weakest:</w:t>
      </w:r>
      <w:r>
        <w:t xml:space="preserve"> </w:t>
      </w:r>
      <w:r>
        <w:t xml:space="preserve">Los Angeles (no near-term demand catalyst), Boston, Seattle (little job growth);</w:t>
      </w:r>
      <w:r>
        <w:t xml:space="preserve"> </w:t>
      </w:r>
      <w:r>
        <w:rPr>
          <w:b/>
          <w:bCs/>
        </w:rPr>
        <w:t xml:space="preserve">Denver</w:t>
      </w:r>
      <w:r>
        <w:t xml:space="preserve"> </w:t>
      </w:r>
      <w:r>
        <w:t xml:space="preserve">rent change was ~ –10% in Q1 (worst market, though improving to –4% in April).</w:t>
      </w:r>
    </w:p>
    <w:bookmarkEnd w:id="12"/>
    <w:bookmarkStart w:id="13" w:name="X6aa8b8a18f5943872dea330c733636916793cfc"/>
    <w:p>
      <w:pPr>
        <w:pStyle w:val="Heading2"/>
      </w:pPr>
      <w:r>
        <w:t xml:space="preserve">4. Capital allocation — the differentiator this cycle</w:t>
      </w:r>
    </w:p>
    <w:p>
      <w:pPr>
        <w:pStyle w:val="FirstParagraph"/>
      </w:pPr>
      <w:r>
        <w:t xml:space="preserve">AVB is leaning into the</w:t>
      </w:r>
      <w:r>
        <w:t xml:space="preserve"> </w:t>
      </w:r>
      <w:r>
        <w:rPr>
          <w:b/>
          <w:bCs/>
        </w:rPr>
        <w:t xml:space="preserve">public/private valuation disconnect</w:t>
      </w:r>
      <w:r>
        <w:t xml:space="preserve">:</w:t>
      </w:r>
    </w:p>
    <w:p>
      <w:pPr>
        <w:pStyle w:val="Compact"/>
        <w:numPr>
          <w:ilvl w:val="0"/>
          <w:numId w:val="1004"/>
        </w:numPr>
      </w:pPr>
      <w:r>
        <w:rPr>
          <w:b/>
          <w:bCs/>
        </w:rPr>
        <w:t xml:space="preserve">Q1: sold $340M</w:t>
      </w:r>
      <w:r>
        <w:t xml:space="preserve"> </w:t>
      </w:r>
      <w:r>
        <w:t xml:space="preserve">of older assets (three ~40-year-old high-rises) and</w:t>
      </w:r>
      <w:r>
        <w:t xml:space="preserve"> </w:t>
      </w:r>
      <w:r>
        <w:rPr>
          <w:b/>
          <w:bCs/>
        </w:rPr>
        <w:t xml:space="preserve">repurchased</w:t>
      </w:r>
      <w:r>
        <w:rPr>
          <w:b/>
          <w:bCs/>
        </w:rPr>
        <w:t xml:space="preserve"> </w:t>
      </w:r>
      <m:oMath>
        <m:r>
          <m:t>200</m:t>
        </m:r>
        <m:r>
          <m:t>M</m:t>
        </m:r>
        <m:r>
          <m:t>o</m:t>
        </m:r>
        <m:r>
          <m:t>f</m:t>
        </m:r>
        <m:r>
          <m:t>s</m:t>
        </m:r>
        <m:r>
          <m:t>t</m:t>
        </m:r>
        <m:r>
          <m:t>o</m:t>
        </m:r>
        <m:r>
          <m:t>c</m:t>
        </m:r>
        <m:r>
          <m:t>k</m:t>
        </m:r>
        <m:r>
          <m:t>a</m:t>
        </m:r>
        <m:r>
          <m:t>t</m:t>
        </m:r>
        <m:r>
          <m:t> </m:t>
        </m:r>
      </m:oMath>
      <w:r>
        <w:rPr>
          <w:b/>
          <w:bCs/>
        </w:rPr>
        <w:t xml:space="preserve">175.59/share</w:t>
      </w:r>
      <w:r>
        <w:t xml:space="preserve">, an implied cap rate in the</w:t>
      </w:r>
      <w:r>
        <w:t xml:space="preserve"> </w:t>
      </w:r>
      <w:r>
        <w:rPr>
          <w:b/>
          <w:bCs/>
        </w:rPr>
        <w:t xml:space="preserve">low-6% range</w:t>
      </w:r>
      <w:r>
        <w:t xml:space="preserve">.</w:t>
      </w:r>
      <w:r>
        <w:t xml:space="preserve"> </w:t>
      </w:r>
      <w:r>
        <w:rPr>
          <w:b/>
          <w:bCs/>
        </w:rPr>
        <w:t xml:space="preserve">$914M remains</w:t>
      </w:r>
      <w:r>
        <w:t xml:space="preserve"> </w:t>
      </w:r>
      <w:r>
        <w:t xml:space="preserve">on the $1B 2026 buyback authorization.</w:t>
      </w:r>
    </w:p>
    <w:p>
      <w:pPr>
        <w:pStyle w:val="Compact"/>
        <w:numPr>
          <w:ilvl w:val="0"/>
          <w:numId w:val="1004"/>
        </w:numPr>
      </w:pPr>
      <w:r>
        <w:t xml:space="preserve">Management is</w:t>
      </w:r>
      <w:r>
        <w:t xml:space="preserve"> </w:t>
      </w:r>
      <w:r>
        <w:rPr>
          <w:b/>
          <w:bCs/>
        </w:rPr>
        <w:t xml:space="preserve">already marketing additional communities for sale</w:t>
      </w:r>
      <w:r>
        <w:t xml:space="preserve"> </w:t>
      </w:r>
      <w:r>
        <w:t xml:space="preserve">and signaled willingness to redirect the remaining ~</w:t>
      </w:r>
      <w:r>
        <w:t xml:space="preserve">$200M of planned acquisitions into more buybacks (leverage-neutral) if the stock stays attractive; they hinted at "quite a bit" of disposition capacity (~$</w:t>
      </w:r>
      <w:r>
        <w:t xml:space="preserve">500M normal, more with tax planning).</w:t>
      </w:r>
    </w:p>
    <w:p>
      <w:pPr>
        <w:pStyle w:val="Compact"/>
        <w:numPr>
          <w:ilvl w:val="0"/>
          <w:numId w:val="1004"/>
        </w:numPr>
      </w:pPr>
      <w:r>
        <w:rPr>
          <w:b/>
          <w:bCs/>
        </w:rPr>
        <w:t xml:space="preserve">Development:</w:t>
      </w:r>
      <w:r>
        <w:t xml:space="preserve"> </w:t>
      </w:r>
      <m:oMath>
        <m:r>
          <m:t>3.5</m:t>
        </m:r>
        <m:r>
          <m:t>B</m:t>
        </m:r>
        <m:r>
          <m:t>u</m:t>
        </m:r>
        <m:r>
          <m:t>n</m:t>
        </m:r>
        <m:r>
          <m:t>d</m:t>
        </m:r>
        <m:r>
          <m:t>e</m:t>
        </m:r>
        <m:r>
          <m:t>r</m:t>
        </m:r>
        <m:r>
          <m:t>w</m:t>
        </m:r>
        <m:r>
          <m:t>a</m:t>
        </m:r>
        <m:r>
          <m:t>y</m:t>
        </m:r>
        <m:r>
          <m:t>a</m:t>
        </m:r>
        <m:r>
          <m:t>t</m:t>
        </m:r>
        <m:r>
          <m:t> </m:t>
        </m:r>
        <m:r>
          <m:t>6.3</m:t>
        </m:r>
      </m:oMath>
      <w:r>
        <w:t xml:space="preserve">800M of 2026 starts** at 6.5–7% yields. Management noted favorable construction cost buyouts and a</w:t>
      </w:r>
      <w:r>
        <w:t xml:space="preserve"> </w:t>
      </w:r>
      <w:r>
        <w:rPr>
          <w:b/>
          <w:bCs/>
        </w:rPr>
        <w:t xml:space="preserve">$4.2B development-rights pipeline</w:t>
      </w:r>
      <w:r>
        <w:t xml:space="preserve"> </w:t>
      </w:r>
      <w:r>
        <w:t xml:space="preserve">they can dial up.</w:t>
      </w:r>
    </w:p>
    <w:p>
      <w:pPr>
        <w:pStyle w:val="FirstParagraph"/>
      </w:pPr>
      <w:r>
        <w:rPr>
          <w:b/>
          <w:bCs/>
        </w:rPr>
        <w:t xml:space="preserve">Watch for:</w:t>
      </w:r>
      <w:r>
        <w:t xml:space="preserve"> </w:t>
      </w:r>
      <w:r>
        <w:t xml:space="preserve">updated buyback pace/price (a signal on where management sees NAV), incremental disposition guidance, any change to the $800M start target, and commentary on the emerging theme that</w:t>
      </w:r>
      <w:r>
        <w:t xml:space="preserve"> </w:t>
      </w:r>
      <w:r>
        <w:rPr>
          <w:b/>
          <w:bCs/>
        </w:rPr>
        <w:t xml:space="preserve">rental operators are selling more property amid recent housing legislation</w:t>
      </w:r>
      <w:r>
        <w:t xml:space="preserve"> </w:t>
      </w:r>
      <w:r>
        <w:t xml:space="preserve">(per July sector reporting) — i.e., transaction-market liquidity and cap rates.</w:t>
      </w:r>
    </w:p>
    <w:bookmarkEnd w:id="13"/>
    <w:bookmarkStart w:id="14" w:name="X1ff011dd97d10c204d0fa4fe948e79bb7de5132"/>
    <w:p>
      <w:pPr>
        <w:pStyle w:val="Heading2"/>
      </w:pPr>
      <w:r>
        <w:t xml:space="preserve">5. Balance sheet — a strength, not a worry</w:t>
      </w:r>
    </w:p>
    <w:p>
      <w:pPr>
        <w:pStyle w:val="FirstParagraph"/>
      </w:pPr>
      <w:r>
        <w:t xml:space="preserve">Fortress positioning gives AVB the flexibility to fund both buybacks and development:</w:t>
      </w:r>
      <w:r>
        <w:t xml:space="preserve"> </w:t>
      </w:r>
      <w:r>
        <w:rPr>
          <w:b/>
          <w:bCs/>
        </w:rPr>
        <w:t xml:space="preserve">Net Debt-to-Core EBITDAre 4.8x</w:t>
      </w:r>
      <w:r>
        <w:t xml:space="preserve">,</w:t>
      </w:r>
      <w:r>
        <w:t xml:space="preserve"> </w:t>
      </w:r>
      <w:r>
        <w:rPr>
          <w:b/>
          <w:bCs/>
        </w:rPr>
        <w:t xml:space="preserve">interest coverage 6.5x</w:t>
      </w:r>
      <w:r>
        <w:t xml:space="preserve">,</w:t>
      </w:r>
      <w:r>
        <w:t xml:space="preserve"> </w:t>
      </w:r>
      <w:r>
        <w:rPr>
          <w:b/>
          <w:bCs/>
        </w:rPr>
        <w:t xml:space="preserve">95% unencumbered NOI</w:t>
      </w:r>
      <w:r>
        <w:t xml:space="preserve">, weighted-average interest rate ~3.7% and ~6.4 years to maturity. Management noted access to 10-year unsecured debt "in the low-5% range." Quarterly dividend is</w:t>
      </w:r>
      <w:r>
        <w:t xml:space="preserve"> </w:t>
      </w:r>
      <w:r>
        <w:rPr>
          <w:b/>
          <w:bCs/>
        </w:rPr>
        <w:t xml:space="preserve">$1.78/share</w:t>
      </w:r>
      <w:r>
        <w:t xml:space="preserve"> </w:t>
      </w:r>
      <w:r>
        <w:t xml:space="preserve">(~3.7% yield at current price), raised 1.7% for 2026.</w:t>
      </w:r>
    </w:p>
    <w:bookmarkEnd w:id="14"/>
    <w:bookmarkStart w:id="15" w:name="Xa22d0190b4489120402ba84bd8d7822cedf35ec"/>
    <w:p>
      <w:pPr>
        <w:pStyle w:val="Heading2"/>
      </w:pPr>
      <w:r>
        <w:t xml:space="preserve">6. Stock setup &amp; sentiment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Ticker</w:t>
            </w:r>
          </w:p>
        </w:tc>
        <w:tc>
          <w:tcPr/>
          <w:p>
            <w:pPr>
              <w:pStyle w:val="Compact"/>
            </w:pPr>
            <w:r>
              <w:t xml:space="preserve">12/31/25→7/21/26</w:t>
            </w:r>
          </w:p>
        </w:tc>
        <w:tc>
          <w:tcPr/>
          <w:p>
            <w:pPr>
              <w:pStyle w:val="Compact"/>
            </w:pPr>
            <w:r>
              <w:t xml:space="preserve">Comment</w:t>
            </w:r>
          </w:p>
        </w:tc>
      </w:tr>
      <w:tr>
        <w:tc>
          <w:tcPr/>
          <w:p>
            <w:pPr>
              <w:pStyle w:val="Compact"/>
            </w:pPr>
            <w:r>
              <w:rPr>
                <w:b/>
                <w:bCs/>
              </w:rPr>
              <w:t xml:space="preserve">AVB</w:t>
            </w:r>
          </w:p>
        </w:tc>
        <w:tc>
          <w:tcPr/>
          <w:p>
            <w:pPr>
              <w:pStyle w:val="Compact"/>
            </w:pPr>
            <w:r>
              <w:t xml:space="preserve">~</w:t>
            </w:r>
            <m:oMath>
              <m:r>
                <m:t>180</m:t>
              </m:r>
              <m:r>
                <m:rPr>
                  <m:sty m:val="p"/>
                </m:rPr>
                <m:t>→</m:t>
              </m:r>
              <m:r>
                <m:rPr>
                  <m:sty m:val="p"/>
                </m:rPr>
                <m:t>*</m:t>
              </m:r>
              <m:r>
                <m:rPr>
                  <m:sty m:val="p"/>
                </m:rPr>
                <m:t>*</m:t>
              </m:r>
            </m:oMath>
            <w:r>
              <w:t xml:space="preserve">190.68** (</w:t>
            </w:r>
            <w:r>
              <w:rPr>
                <w:b/>
                <w:bCs/>
              </w:rPr>
              <w:t xml:space="preserve">+5.7%</w:t>
            </w:r>
            <w:r>
              <w:t xml:space="preserve">)</w:t>
            </w:r>
          </w:p>
        </w:tc>
        <w:tc>
          <w:tcPr/>
          <w:p>
            <w:pPr>
              <w:pStyle w:val="Compact"/>
            </w:pPr>
            <w:r>
              <w:t xml:space="preserve">Lagging apartment peers YTD</w:t>
            </w:r>
          </w:p>
        </w:tc>
      </w:tr>
      <w:tr>
        <w:tc>
          <w:tcPr/>
          <w:p>
            <w:pPr>
              <w:pStyle w:val="Compact"/>
            </w:pPr>
            <w:r>
              <w:t xml:space="preserve">EQR</w:t>
            </w:r>
          </w:p>
        </w:tc>
        <w:tc>
          <w:tcPr/>
          <w:p>
            <w:pPr>
              <w:pStyle w:val="Compact"/>
            </w:pPr>
            <w:r>
              <w:t xml:space="preserve">+10.1%</w:t>
            </w:r>
          </w:p>
        </w:tc>
        <w:tc>
          <w:tcPr/>
          <w:p>
            <w:pPr>
              <w:pStyle w:val="Compact"/>
            </w:pPr>
          </w:p>
        </w:tc>
      </w:tr>
      <w:tr>
        <w:tc>
          <w:tcPr/>
          <w:p>
            <w:pPr>
              <w:pStyle w:val="Compact"/>
            </w:pPr>
            <w:r>
              <w:t xml:space="preserve">ESS</w:t>
            </w:r>
          </w:p>
        </w:tc>
        <w:tc>
          <w:tcPr/>
          <w:p>
            <w:pPr>
              <w:pStyle w:val="Compact"/>
            </w:pPr>
            <w:r>
              <w:t xml:space="preserve">+14.5%</w:t>
            </w:r>
          </w:p>
        </w:tc>
        <w:tc>
          <w:tcPr/>
          <w:p>
            <w:pPr>
              <w:pStyle w:val="Compact"/>
            </w:pPr>
            <w:r>
              <w:t xml:space="preserve">Coastal outperformer</w:t>
            </w:r>
          </w:p>
        </w:tc>
      </w:tr>
      <w:tr>
        <w:tc>
          <w:tcPr/>
          <w:p>
            <w:pPr>
              <w:pStyle w:val="Compact"/>
            </w:pPr>
            <w:r>
              <w:t xml:space="preserve">UDR</w:t>
            </w:r>
          </w:p>
        </w:tc>
        <w:tc>
          <w:tcPr/>
          <w:p>
            <w:pPr>
              <w:pStyle w:val="Compact"/>
            </w:pPr>
            <w:r>
              <w:t xml:space="preserve">+7.9%</w:t>
            </w:r>
          </w:p>
        </w:tc>
        <w:tc>
          <w:tcPr/>
          <w:p>
            <w:pPr>
              <w:pStyle w:val="Compact"/>
            </w:pPr>
          </w:p>
        </w:tc>
      </w:tr>
    </w:tbl>
    <w:p>
      <w:pPr>
        <w:pStyle w:val="BodyText"/>
      </w:pPr>
      <w:r>
        <w:t xml:space="preserve">AVB sold off with the broader tariff-driven market to ~</w:t>
      </w:r>
      <m:oMath>
        <m:r>
          <m:t>160</m:t>
        </m:r>
        <m:r>
          <m:t>i</m:t>
        </m:r>
        <m:r>
          <m:t>n</m:t>
        </m:r>
        <m:r>
          <m:t>l</m:t>
        </m:r>
        <m:r>
          <m:t>a</m:t>
        </m:r>
        <m:r>
          <m:t>t</m:t>
        </m:r>
        <m:r>
          <m:t>e</m:t>
        </m:r>
        <m:r>
          <m:t>M</m:t>
        </m:r>
        <m:r>
          <m:t>a</m:t>
        </m:r>
        <m:r>
          <m:t>r</m:t>
        </m:r>
        <m:r>
          <m:t>c</m:t>
        </m:r>
        <m:r>
          <m:t>h</m:t>
        </m:r>
        <m:r>
          <m:rPr>
            <m:sty m:val="p"/>
          </m:rPr>
          <m:t>,</m:t>
        </m:r>
        <m:r>
          <m:t>t</m:t>
        </m:r>
        <m:r>
          <m:t>h</m:t>
        </m:r>
        <m:r>
          <m:t>e</m:t>
        </m:r>
        <m:r>
          <m:t>n</m:t>
        </m:r>
        <m:r>
          <m:rPr>
            <m:sty m:val="p"/>
          </m:rPr>
          <m:t>*</m:t>
        </m:r>
        <m:r>
          <m:rPr>
            <m:sty m:val="p"/>
          </m:rPr>
          <m:t>*</m:t>
        </m:r>
        <m:r>
          <m:t>p</m:t>
        </m:r>
        <m:r>
          <m:t>o</m:t>
        </m:r>
        <m:r>
          <m:t>p</m:t>
        </m:r>
        <m:r>
          <m:t>p</m:t>
        </m:r>
        <m:r>
          <m:t>e</m:t>
        </m:r>
        <m:r>
          <m:t>d</m:t>
        </m:r>
        <m:r>
          <m:t> </m:t>
        </m:r>
        <m:r>
          <m:t>5</m:t>
        </m:r>
      </m:oMath>
      <w:r>
        <w:t xml:space="preserve">195.5 on 7/16)**. The stock has</w:t>
      </w:r>
      <w:r>
        <w:t xml:space="preserve"> </w:t>
      </w:r>
      <w:r>
        <w:rPr>
          <w:b/>
          <w:bCs/>
        </w:rPr>
        <w:t xml:space="preserve">underperformed its Sunbelt-light coastal peers</w:t>
      </w:r>
      <w:r>
        <w:t xml:space="preserve"> </w:t>
      </w:r>
      <w:r>
        <w:t xml:space="preserve">(notably ESS) year-to-date, so expectations are moderate but the recent run means a "good-but-not-raised" quarter could see profit-taking.</w:t>
      </w:r>
    </w:p>
    <w:p>
      <w:r>
        <w:pict>
          <v:rect style="width:0;height:1.5pt" o:hralign="center" o:hrstd="t" o:hr="t"/>
        </w:pict>
      </w:r>
    </w:p>
    <w:bookmarkEnd w:id="15"/>
    <w:bookmarkStart w:id="16" w:name="bottom-line--what-to-focus-on-wednesday"/>
    <w:p>
      <w:pPr>
        <w:pStyle w:val="Heading2"/>
      </w:pPr>
      <w:r>
        <w:t xml:space="preserve">Bottom line — what to focus on Wednesday</w:t>
      </w:r>
    </w:p>
    <w:p>
      <w:pPr>
        <w:pStyle w:val="Compact"/>
        <w:numPr>
          <w:ilvl w:val="0"/>
          <w:numId w:val="1005"/>
        </w:numPr>
      </w:pPr>
      <w:r>
        <w:rPr>
          <w:b/>
          <w:bCs/>
        </w:rPr>
        <w:t xml:space="preserve">Guidance action</w:t>
      </w:r>
      <w:r>
        <w:t xml:space="preserve"> </w:t>
      </w:r>
      <w:r>
        <w:t xml:space="preserve">— a full-year Core FFO raise (vs. another "affirm") is the primary swing factor after the Q1 beat and buyback accretion.</w:t>
      </w:r>
    </w:p>
    <w:p>
      <w:pPr>
        <w:pStyle w:val="Compact"/>
        <w:numPr>
          <w:ilvl w:val="0"/>
          <w:numId w:val="1005"/>
        </w:numPr>
      </w:pPr>
      <w:r>
        <w:rPr>
          <w:b/>
          <w:bCs/>
        </w:rPr>
        <w:t xml:space="preserve">Blended lease rate growth</w:t>
      </w:r>
      <w:r>
        <w:t xml:space="preserve"> </w:t>
      </w:r>
      <w:r>
        <w:t xml:space="preserve">— did the ramp toward ~2.5% second-half pacing show up in Q2 new-lease/renewal spreads?</w:t>
      </w:r>
    </w:p>
    <w:p>
      <w:pPr>
        <w:pStyle w:val="Compact"/>
        <w:numPr>
          <w:ilvl w:val="0"/>
          <w:numId w:val="1005"/>
        </w:numPr>
      </w:pPr>
      <w:r>
        <w:rPr>
          <w:b/>
          <w:bCs/>
        </w:rPr>
        <w:t xml:space="preserve">Occupancy &amp; turnover</w:t>
      </w:r>
      <w:r>
        <w:t xml:space="preserve"> </w:t>
      </w:r>
      <w:r>
        <w:t xml:space="preserve">— sustaining ~96% and record-low turnover underpins pricing power.</w:t>
      </w:r>
    </w:p>
    <w:p>
      <w:pPr>
        <w:pStyle w:val="Compact"/>
        <w:numPr>
          <w:ilvl w:val="0"/>
          <w:numId w:val="1005"/>
        </w:numPr>
      </w:pPr>
      <w:r>
        <w:rPr>
          <w:b/>
          <w:bCs/>
        </w:rPr>
        <w:t xml:space="preserve">Capital allocation</w:t>
      </w:r>
      <w:r>
        <w:t xml:space="preserve"> </w:t>
      </w:r>
      <w:r>
        <w:t xml:space="preserve">— buyback pace/price and disposition volume, as a read on the public/private value gap.</w:t>
      </w:r>
    </w:p>
    <w:p>
      <w:pPr>
        <w:pStyle w:val="Compact"/>
        <w:numPr>
          <w:ilvl w:val="0"/>
          <w:numId w:val="1005"/>
        </w:numPr>
      </w:pPr>
      <w:r>
        <w:rPr>
          <w:b/>
          <w:bCs/>
        </w:rPr>
        <w:t xml:space="preserve">Regional inflections</w:t>
      </w:r>
      <w:r>
        <w:t xml:space="preserve"> </w:t>
      </w:r>
      <w:r>
        <w:t xml:space="preserve">— Mid-Atlantic/DC recovery, and whether LA/Seattle/Denver stabilize.</w:t>
      </w:r>
    </w:p>
    <w:p>
      <w:pPr>
        <w:pStyle w:val="Compact"/>
        <w:numPr>
          <w:ilvl w:val="0"/>
          <w:numId w:val="1005"/>
        </w:numPr>
      </w:pPr>
      <w:r>
        <w:rPr>
          <w:b/>
          <w:bCs/>
        </w:rPr>
        <w:t xml:space="preserve">Development ramp</w:t>
      </w:r>
      <w:r>
        <w:t xml:space="preserve"> </w:t>
      </w:r>
      <w:r>
        <w:t xml:space="preserve">— reaffirmation of the</w:t>
      </w:r>
      <w:r>
        <w:t xml:space="preserve"> </w:t>
      </w:r>
      <m:oMath>
        <m:r>
          <m:t>47</m:t>
        </m:r>
        <m:r>
          <m:t>M</m:t>
        </m:r>
        <m:r>
          <m:rPr>
            <m:sty m:val="p"/>
          </m:rPr>
          <m:t>→</m:t>
        </m:r>
      </m:oMath>
      <w:r>
        <w:t xml:space="preserve">120M NOI trajectory and 2026 start pace.</w:t>
      </w:r>
    </w:p>
    <w:p>
      <w:pPr>
        <w:pStyle w:val="FirstParagraph"/>
      </w:pPr>
      <w:r>
        <w:rPr>
          <w:b/>
          <w:bCs/>
        </w:rPr>
        <w:t xml:space="preserve">Framing:</w:t>
      </w:r>
      <w:r>
        <w:t xml:space="preserve"> </w:t>
      </w:r>
      <w:r>
        <w:t xml:space="preserve">This is a company with clean fundamentals and a strong balance sheet in a low-supply, low-homeownership-competition environment, but</w:t>
      </w:r>
      <w:r>
        <w:t xml:space="preserve"> </w:t>
      </w:r>
      <w:r>
        <w:rPr>
          <w:b/>
          <w:bCs/>
        </w:rPr>
        <w:t xml:space="preserve">2026 is a transition year with flat headline FFO</w:t>
      </w:r>
      <w:r>
        <w:t xml:space="preserve">. The bull thesis rests on the second-half rent ramp proving out and the development pipeline/buybacks driving 2027 growth. The report is less about the (optically soft, guidance-consistent) Q2 number and more about</w:t>
      </w:r>
      <w:r>
        <w:t xml:space="preserve"> </w:t>
      </w:r>
      <w:r>
        <w:rPr>
          <w:b/>
          <w:bCs/>
        </w:rPr>
        <w:t xml:space="preserve">management's confidence to raise the full year.</w:t>
      </w:r>
    </w:p>
    <w:p>
      <w:pPr>
        <w:pStyle w:val="BodyText"/>
      </w:pPr>
      <w:r>
        <w:rPr>
          <w:i/>
          <w:iCs/>
        </w:rPr>
        <w:t xml:space="preserve">Note: figures above are drawn from AVB's own releases and earnings-call commentary; I was unable to locate published sell-side consensus estimates in the available sources, so comparisons are framed against company guidance and prior-year actuals rather than Street consensus.</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2026-07-22T00:51:34Z</dcterms:created>
  <dcterms:modified xsi:type="dcterms:W3CDTF">2026-07-22T00:51:34Z</dcterms:modified>
</cp:coreProperties>
</file>

<file path=docProps/custom.xml><?xml version="1.0" encoding="utf-8"?>
<Properties xmlns="http://schemas.openxmlformats.org/officeDocument/2006/custom-properties" xmlns:vt="http://schemas.openxmlformats.org/officeDocument/2006/docPropsVTypes"/>
</file>