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vb-earnings-predictions--2026-07-22"/>
    <w:p>
      <w:pPr>
        <w:pStyle w:val="Heading1"/>
      </w:pPr>
      <w:r>
        <w:t xml:space="preserve">AVB Earnings Predictions — 2026-07-22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Core FFO/share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~$2.85 vs. cons $2.80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Same-Store Residential Revenue Growth (YoY)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~1.9% vs. cons 1.7%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Same-Store NOI Growth (YoY)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~0.3% vs. cons 0.6%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Core FFO/share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~$11.25 (reaffirmed midpoint) vs. cons $11.30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Same-Store Revenue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~1.4% midpoint (0.4%-2.4% range, reaffirmed) vs. cons 1.6% (FY2026)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EQR merger annual synergy commentary (no Q2 conf call held)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~$175M gross synergies reiterated vs. cons/prior $175M (post-close run-rate)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+0.3%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AVB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+0.2% (STABILIZE)</w:t>
            </w:r>
          </w:p>
        </w:tc>
        <w:tc>
          <w:tcPr/>
          <w:p>
            <w:pPr>
              <w:pStyle w:val="Compact"/>
            </w:pPr>
            <w:r>
              <w:t xml:space="preserve">AVB skipped its Q2 conference call entirely given the pending EQR merger, so there is minimal incremental forward commentary or Q&amp;A to drive analyst revision swings either way. With guidance likely reaffirmed rather than raised (mirroring the Q1 pattern despite a beat) and full-year Core FFO/revenue guide points running at or slightly below where consensus had drifted, there's no strong upside catalyst for estimate upgrades, but resilient occupancy/low supply also limits downside cuts. Because the stock is trading almost exactly at the implied EQR swap-ratio value, day-to-day price action over the next week should mostly track the merger arb spread and EQR's own price rather than extend or reverse on the print itself — i.e., stabilize near the initial reaction rather than follow through or fade sharply.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2026-07-22T00:56:18Z</dcterms:created>
  <dcterms:modified xsi:type="dcterms:W3CDTF">2026-07-22T00:56:18Z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