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6" w:name="X4fc82fbee736110ef7c999dafefb4fbe1e7bbd7"/>
    <w:p>
      <w:pPr>
        <w:pStyle w:val="Heading1"/>
      </w:pPr>
      <w:r>
        <w:t xml:space="preserve">AvalonBay Communities (AVB) — Q2 2026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Wednesday, July 22, 2026 (after market close)</w:t>
      </w:r>
      <w:r>
        <w:t xml:space="preserve"> </w:t>
      </w:r>
      <w:r>
        <w:rPr>
          <w:b/>
          <w:bCs/>
        </w:rPr>
        <w:t xml:space="preserve">Last close (7/21/26):</w:t>
      </w:r>
      <w:r>
        <w:t xml:space="preserve"> </w:t>
      </w:r>
      <w:r>
        <w:t xml:space="preserve">~$190.68 | 52-week range roughly</w:t>
      </w:r>
      <w:r>
        <w:t xml:space="preserve"> </w:t>
      </w:r>
      <m:oMath>
        <m:r>
          <m:t>161</m:t>
        </m:r>
        <m:r>
          <m:rPr>
            <m:sty m:val="p"/>
          </m:rPr>
          <m:t>–</m:t>
        </m:r>
      </m:oMath>
      <w:r>
        <w:t xml:space="preserve">205</w:t>
      </w:r>
      <w:r>
        <w:t xml:space="preserve"> </w:t>
      </w:r>
      <w:r>
        <w:rPr>
          <w:b/>
          <w:bCs/>
        </w:rPr>
        <w:t xml:space="preserve">Fiscal quarter:</w:t>
      </w:r>
      <w:r>
        <w:t xml:space="preserve"> </w:t>
      </w:r>
      <w:r>
        <w:t xml:space="preserve">Q2 2026 (three months ended June 30, 2026)</w:t>
      </w:r>
    </w:p>
    <w:p>
      <w:r>
        <w:pict>
          <v:rect style="width:0;height:1.5pt" o:hralign="center" o:hrstd="t" o:hr="t"/>
        </w:pict>
      </w:r>
    </w:p>
    <w:bookmarkStart w:id="9" w:name="Xd5dcbb6d2d0f149dfb32c2b80860e6749d9f74d"/>
    <w:p>
      <w:pPr>
        <w:pStyle w:val="Heading2"/>
      </w:pPr>
      <w:r>
        <w:t xml:space="preserve">1. The Elephant in the Room: The Pending Merger with Equity Residential</w:t>
      </w:r>
    </w:p>
    <w:p>
      <w:pPr>
        <w:pStyle w:val="FirstParagraph"/>
      </w:pPr>
      <w:r>
        <w:t xml:space="preserve">Going into this print, AVB's earnings are almost a secondary story to the transformational</w:t>
      </w:r>
      <w:r>
        <w:t xml:space="preserve"> </w:t>
      </w:r>
      <w:r>
        <w:rPr>
          <w:b/>
          <w:bCs/>
        </w:rPr>
        <w:t xml:space="preserve">merger of equals with Equity Residential (EQR)</w:t>
      </w:r>
      <w:r>
        <w:t xml:space="preserve"> </w:t>
      </w:r>
      <w:r>
        <w:t xml:space="preserve">announced May 20, 2026. This is the single most important lens through which tomorrow's print and commentary should be read: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Structure/terms:</w:t>
      </w:r>
      <w:r>
        <w:t xml:space="preserve"> </w:t>
      </w:r>
      <w:r>
        <w:t xml:space="preserve">All-stock combination in which each AvalonBay share converts into</w:t>
      </w:r>
      <w:r>
        <w:t xml:space="preserve"> </w:t>
      </w:r>
      <w:r>
        <w:rPr>
          <w:b/>
          <w:bCs/>
        </w:rPr>
        <w:t xml:space="preserve">2.793 Equity Residential shares</w:t>
      </w:r>
      <w:r>
        <w:t xml:space="preserve"> </w:t>
      </w:r>
      <w:r>
        <w:t xml:space="preserve">(cash in lieu of fractionals), implying roughly</w:t>
      </w:r>
      <w:r>
        <w:t xml:space="preserve"> </w:t>
      </w:r>
      <m:oMath>
        <m:r>
          <m:t>190</m:t>
        </m:r>
        <m:r>
          <m:rPr>
            <m:sty m:val="p"/>
          </m:rPr>
          <m:t>–</m:t>
        </m:r>
      </m:oMath>
      <w:r>
        <w:rPr>
          <w:b/>
          <w:bCs/>
        </w:rPr>
        <w:t xml:space="preserve">191 per AVB share</w:t>
      </w:r>
      <w:r>
        <w:t xml:space="preserve"> </w:t>
      </w:r>
      <w:r>
        <w:t xml:space="preserve">at recent EQR prices. AvalonBay shareholders would own about</w:t>
      </w:r>
      <w:r>
        <w:t xml:space="preserve"> </w:t>
      </w:r>
      <w:r>
        <w:rPr>
          <w:b/>
          <w:bCs/>
        </w:rPr>
        <w:t xml:space="preserve">51%</w:t>
      </w:r>
      <w:r>
        <w:t xml:space="preserve"> </w:t>
      </w:r>
      <w:r>
        <w:t xml:space="preserve">of the combined company and EQR shareholders about</w:t>
      </w:r>
      <w:r>
        <w:t xml:space="preserve"> </w:t>
      </w:r>
      <w:r>
        <w:rPr>
          <w:b/>
          <w:bCs/>
        </w:rPr>
        <w:t xml:space="preserve">49%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Scale:</w:t>
      </w:r>
      <w:r>
        <w:t xml:space="preserve"> </w:t>
      </w:r>
      <w:r>
        <w:t xml:space="preserve">The deal is being valued at roughly</w:t>
      </w:r>
      <w:r>
        <w:t xml:space="preserve"> </w:t>
      </w:r>
      <w:r>
        <w:rPr>
          <w:b/>
          <w:bCs/>
        </w:rPr>
        <w:t xml:space="preserve">$69 billion on an enterprise basis</w:t>
      </w:r>
      <w:r>
        <w:t xml:space="preserve">, creating a combined company with more than 180,000 apartment units and a pro forma equity market cap near $52 billion — one of the largest rental housing platforms in the U.S.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Leadership/governance:</w:t>
      </w:r>
      <w:r>
        <w:t xml:space="preserve"> </w:t>
      </w:r>
      <w:r>
        <w:t xml:space="preserve">AvalonBay CEO</w:t>
      </w:r>
      <w:r>
        <w:t xml:space="preserve"> </w:t>
      </w:r>
      <w:r>
        <w:rPr>
          <w:b/>
          <w:bCs/>
        </w:rPr>
        <w:t xml:space="preserve">Ben Schall</w:t>
      </w:r>
      <w:r>
        <w:t xml:space="preserve"> </w:t>
      </w:r>
      <w:r>
        <w:t xml:space="preserve">will lead the combined company as CEO; the combined entity will have</w:t>
      </w:r>
      <w:r>
        <w:t xml:space="preserve"> </w:t>
      </w:r>
      <w:r>
        <w:rPr>
          <w:b/>
          <w:bCs/>
        </w:rPr>
        <w:t xml:space="preserve">dual headquarters in Arlington, VA and Chicago, IL</w:t>
      </w:r>
      <w:r>
        <w:t xml:space="preserve">; Steve Sterrett (currently EQR's lead independent trustee) is slated to be chairman, with legacy chairs from both boards joining as trustees.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Synergies:</w:t>
      </w:r>
      <w:r>
        <w:t xml:space="preserve"> </w:t>
      </w:r>
      <w:r>
        <w:t xml:space="preserve">Management is guiding to roughly</w:t>
      </w:r>
      <w:r>
        <w:t xml:space="preserve"> </w:t>
      </w:r>
      <m:oMath>
        <m:r>
          <m:t>175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g</m:t>
        </m:r>
        <m:r>
          <m:t>r</m:t>
        </m:r>
        <m:r>
          <m:t>o</m:t>
        </m:r>
        <m:r>
          <m:t>s</m:t>
        </m:r>
        <m:r>
          <m:t>s</m:t>
        </m:r>
        <m:r>
          <m:t>a</m:t>
        </m:r>
        <m:r>
          <m:t>n</m:t>
        </m:r>
        <m:r>
          <m:t>n</m:t>
        </m:r>
        <m:r>
          <m:t>u</m:t>
        </m:r>
        <m:r>
          <m:t>a</m:t>
        </m:r>
        <m:r>
          <m:t>l</m:t>
        </m:r>
        <m:r>
          <m:t>s</m:t>
        </m:r>
        <m:r>
          <m:t>y</m:t>
        </m:r>
        <m:r>
          <m:t>n</m:t>
        </m:r>
        <m:r>
          <m:t>e</m:t>
        </m:r>
        <m:r>
          <m:t>r</m:t>
        </m:r>
        <m:r>
          <m:t>g</m:t>
        </m:r>
        <m:r>
          <m:t>i</m:t>
        </m:r>
        <m:r>
          <m:t>e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f</m:t>
        </m:r>
        <m:r>
          <m:t>r</m:t>
        </m:r>
        <m:r>
          <m:t>o</m:t>
        </m:r>
        <m:r>
          <m:t>m</m:t>
        </m:r>
        <m:r>
          <m:t>c</m:t>
        </m:r>
        <m:r>
          <m:t>o</m:t>
        </m:r>
        <m:r>
          <m:t>r</m:t>
        </m:r>
        <m:r>
          <m:t>p</m:t>
        </m:r>
        <m:r>
          <m:t>o</m:t>
        </m:r>
        <m:r>
          <m:t>r</m:t>
        </m:r>
        <m:r>
          <m:t>a</m:t>
        </m:r>
        <m:r>
          <m:t>t</m:t>
        </m:r>
        <m:r>
          <m:t>e</m:t>
        </m:r>
        <m:r>
          <m:t>o</m:t>
        </m:r>
        <m:r>
          <m:t>v</m:t>
        </m:r>
        <m:r>
          <m:t>e</m:t>
        </m:r>
        <m:r>
          <m:t>r</m:t>
        </m:r>
        <m:r>
          <m:t>h</m:t>
        </m:r>
        <m:r>
          <m:t>e</m:t>
        </m:r>
        <m:r>
          <m:t>a</m:t>
        </m:r>
        <m:r>
          <m:t>d</m:t>
        </m:r>
        <m:r>
          <m:rPr>
            <m:sty m:val="p"/>
          </m:rPr>
          <m:t>,</m:t>
        </m:r>
        <m:r>
          <m:t>p</m:t>
        </m:r>
        <m:r>
          <m:t>r</m:t>
        </m:r>
        <m:r>
          <m:t>o</m:t>
        </m:r>
        <m:r>
          <m:t>p</m:t>
        </m:r>
        <m:r>
          <m:t>e</m:t>
        </m:r>
        <m:r>
          <m:t>r</m:t>
        </m:r>
        <m:r>
          <m:t>t</m:t>
        </m:r>
        <m:r>
          <m:t>y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a</m:t>
        </m:r>
        <m:r>
          <m:t>n</m:t>
        </m:r>
        <m:r>
          <m:t>d</m:t>
        </m:r>
        <m:r>
          <m:t>o</m:t>
        </m:r>
        <m:r>
          <m:t>p</m:t>
        </m:r>
        <m:r>
          <m:t>e</m:t>
        </m:r>
        <m:r>
          <m:t>r</m:t>
        </m:r>
        <m:r>
          <m:t>a</m:t>
        </m:r>
        <m:r>
          <m:t>t</m:t>
        </m:r>
        <m:r>
          <m:t>i</m:t>
        </m:r>
        <m:r>
          <m:t>n</m:t>
        </m:r>
        <m:r>
          <m:t>g</m:t>
        </m:r>
        <m:r>
          <m:rPr>
            <m:sty m:val="p"/>
          </m:rPr>
          <m:t>−</m:t>
        </m:r>
        <m:r>
          <m:t>e</m:t>
        </m:r>
        <m:r>
          <m:t>x</m:t>
        </m:r>
        <m:r>
          <m:t>p</m:t>
        </m:r>
        <m:r>
          <m:t>e</m:t>
        </m:r>
        <m:r>
          <m:t>n</m:t>
        </m:r>
        <m:r>
          <m:t>s</m:t>
        </m:r>
        <m:r>
          <m:t>e</m:t>
        </m:r>
        <m:r>
          <m:t>e</m:t>
        </m:r>
        <m:r>
          <m:t>f</m:t>
        </m:r>
        <m:r>
          <m:t>f</m:t>
        </m:r>
        <m:r>
          <m:t>i</m:t>
        </m:r>
        <m:r>
          <m:t>c</m:t>
        </m:r>
        <m:r>
          <m:t>i</m:t>
        </m:r>
        <m:r>
          <m:t>e</m:t>
        </m:r>
        <m:r>
          <m:t>n</m:t>
        </m:r>
        <m:r>
          <m:t>c</m:t>
        </m:r>
        <m:r>
          <m:t>i</m:t>
        </m:r>
        <m:r>
          <m:t>e</m:t>
        </m:r>
        <m:r>
          <m:t>s</m:t>
        </m:r>
        <m:r>
          <m:rPr>
            <m:sty m:val="p"/>
          </m:rPr>
          <m:t>(</m:t>
        </m:r>
        <m:r>
          <m:t>a</m:t>
        </m:r>
        <m:r>
          <m:t>b</m:t>
        </m:r>
        <m:r>
          <m:t>o</m:t>
        </m:r>
        <m:r>
          <m:t>u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125 million net</w:t>
      </w:r>
      <w:r>
        <w:t xml:space="preserve">, after real-estate tax reassessments), driven by heavy portfolio overlap (the two REITs' footprints overlap in an estimated ~95% of markets).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Timeline:</w:t>
      </w:r>
      <w:r>
        <w:t xml:space="preserve"> </w:t>
      </w:r>
      <w:r>
        <w:t xml:space="preserve">Both companies will hold</w:t>
      </w:r>
      <w:r>
        <w:t xml:space="preserve"> </w:t>
      </w:r>
      <w:r>
        <w:rPr>
          <w:b/>
          <w:bCs/>
        </w:rPr>
        <w:t xml:space="preserve">virtual special shareholder meetings on August 12, 2026</w:t>
      </w:r>
      <w:r>
        <w:t xml:space="preserve"> </w:t>
      </w:r>
      <w:r>
        <w:t xml:space="preserve">(record date July 9, 2026) to approve the deal, with closing targeted for the</w:t>
      </w:r>
      <w:r>
        <w:t xml:space="preserve"> </w:t>
      </w:r>
      <w:r>
        <w:rPr>
          <w:b/>
          <w:bCs/>
        </w:rPr>
        <w:t xml:space="preserve">second half of 2026</w:t>
      </w:r>
      <w:r>
        <w:t xml:space="preserve">, subject to approvals.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Market pricing/arb spread:</w:t>
      </w:r>
      <w:r>
        <w:t xml:space="preserve"> </w:t>
      </w:r>
      <w:r>
        <w:t xml:space="preserve">As of July 21, AVB ($190.68) is trading almost exactly in line with the implied deal value (2.793 × EQR's $68.31 ≈ $190.79), suggesting the market is pricing in high confidence the deal closes roughly on the terms announced and on schedule. Barclays recently downgraded AVB to Equal Weight from Overweight (price target</w:t>
      </w:r>
      <w:r>
        <w:t xml:space="preserve"> </w:t>
      </w:r>
      <w:r>
        <w:t xml:space="preserve">$205) on "merger concerns," while Wolfe Research upgraded AVB to Outperform ($</w:t>
      </w:r>
      <w:r>
        <w:t xml:space="preserve">209 target) citing merger synergies and a discounted valuation — a reminder that sell-side views on the deal are split.</w:t>
      </w:r>
    </w:p>
    <w:p>
      <w:pPr>
        <w:pStyle w:val="FirstParagraph"/>
      </w:pPr>
      <w:r>
        <w:rPr>
          <w:b/>
          <w:bCs/>
        </w:rPr>
        <w:t xml:space="preserve">Why this matters for tomorrow's call:</w:t>
      </w:r>
      <w:r>
        <w:t xml:space="preserve"> </w:t>
      </w:r>
      <w:r>
        <w:t xml:space="preserve">Because the shareholder vote is just three weeks away, expect significant Q&amp;A time devoted to integration planning, regulatory/approval progress, any updates to the synergy estimate, and how capital allocation (buybacks, dispositions, development starts) is being managed in the pre-close "hold separate" period. Don't be surprised if management is more guarded than usual on forward-looking commentary given SEC/proxy-related disclosure constraints around the pending vote.</w:t>
      </w:r>
    </w:p>
    <w:p>
      <w:r>
        <w:pict>
          <v:rect style="width:0;height:1.5pt" o:hralign="center" o:hrstd="t" o:hr="t"/>
        </w:pict>
      </w:r>
    </w:p>
    <w:bookmarkEnd w:id="9"/>
    <w:bookmarkStart w:id="10" w:name="Xccc248bbfde65f146abc785a24c6810e4621d49"/>
    <w:p>
      <w:pPr>
        <w:pStyle w:val="Heading2"/>
      </w:pPr>
      <w:r>
        <w:t xml:space="preserve">2. Q1 2026 Recap — The Set-Up</w:t>
      </w:r>
    </w:p>
    <w:p>
      <w:pPr>
        <w:pStyle w:val="FirstParagraph"/>
      </w:pPr>
      <w:r>
        <w:t xml:space="preserve">AVB's Q1 2026 print (reported April 28) beat expectations and reaffirmed full-year guidance:</w:t>
      </w:r>
    </w:p>
    <w:p>
      <w:pPr>
        <w:pStyle w:val="Compact"/>
        <w:numPr>
          <w:ilvl w:val="0"/>
          <w:numId w:val="1002"/>
        </w:numPr>
      </w:pPr>
      <w:r>
        <w:t xml:space="preserve">Core FFO of</w:t>
      </w:r>
      <w:r>
        <w:t xml:space="preserve"> </w:t>
      </w:r>
      <m:oMath>
        <m:r>
          <m:t>2.83</m:t>
        </m:r>
        <m:r>
          <m:rPr>
            <m:sty m:val="p"/>
          </m:rPr>
          <m:t>/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f</m:t>
        </m:r>
        <m:r>
          <m:t>l</m:t>
        </m:r>
        <m:r>
          <m:t>a</m:t>
        </m:r>
        <m:r>
          <m:t>t</m:t>
        </m:r>
        <m:r>
          <m:t>y</m:t>
        </m:r>
        <m:r>
          <m:t>e</m:t>
        </m:r>
        <m:r>
          <m:t>a</m:t>
        </m:r>
        <m:r>
          <m:t>r</m:t>
        </m:r>
        <m:r>
          <m:rPr>
            <m:sty m:val="p"/>
          </m:rPr>
          <m:t>−</m:t>
        </m:r>
        <m:r>
          <m:t>o</m:t>
        </m:r>
        <m:r>
          <m:t>v</m:t>
        </m:r>
        <m:r>
          <m:t>e</m:t>
        </m:r>
        <m:r>
          <m:t>r</m:t>
        </m:r>
        <m:r>
          <m:rPr>
            <m:sty m:val="p"/>
          </m:rPr>
          <m:t>−</m:t>
        </m:r>
        <m:r>
          <m:t>y</m:t>
        </m:r>
        <m:r>
          <m:t>e</m:t>
        </m:r>
        <m:r>
          <m:t>a</m:t>
        </m:r>
        <m:r>
          <m:t>r</m:t>
        </m:r>
        <m:r>
          <m:t>b</m:t>
        </m:r>
        <m:r>
          <m:t>u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0.05 ahead of the midpoint</w:t>
      </w:r>
      <w:r>
        <w:t xml:space="preserve"> </w:t>
      </w:r>
      <w:r>
        <w:t xml:space="preserve">of management's own outlook, driven by lower opex, higher development NOI, and accretive buybacks.</w:t>
      </w:r>
    </w:p>
    <w:p>
      <w:pPr>
        <w:pStyle w:val="Compact"/>
        <w:numPr>
          <w:ilvl w:val="0"/>
          <w:numId w:val="1002"/>
        </w:numPr>
      </w:pPr>
      <w:r>
        <w:t xml:space="preserve">Same-store residential revenue grew</w:t>
      </w:r>
      <w:r>
        <w:t xml:space="preserve"> </w:t>
      </w:r>
      <w:r>
        <w:rPr>
          <w:b/>
          <w:bCs/>
        </w:rPr>
        <w:t xml:space="preserve">1.6%</w:t>
      </w:r>
      <w:r>
        <w:t xml:space="preserve"> </w:t>
      </w:r>
      <w:r>
        <w:t xml:space="preserve">year-over-year with occupancy up 10 bps to</w:t>
      </w:r>
      <w:r>
        <w:t xml:space="preserve"> </w:t>
      </w:r>
      <w:r>
        <w:rPr>
          <w:b/>
          <w:bCs/>
        </w:rPr>
        <w:t xml:space="preserve">96.1%</w:t>
      </w:r>
      <w:r>
        <w:t xml:space="preserve">, and turnover fell to one of its lowest levels on record.</w:t>
      </w:r>
    </w:p>
    <w:p>
      <w:pPr>
        <w:pStyle w:val="Compact"/>
        <w:numPr>
          <w:ilvl w:val="0"/>
          <w:numId w:val="1002"/>
        </w:numPr>
      </w:pPr>
      <w:r>
        <w:t xml:space="preserve">Management characterized the results as</w:t>
      </w:r>
      <w:r>
        <w:t xml:space="preserve"> </w:t>
      </w:r>
      <w:r>
        <w:rPr>
          <w:b/>
          <w:bCs/>
        </w:rPr>
        <w:t xml:space="preserve">"exceed[ing] our expectations, driven by lower expenses, higher development NOI and the benefits of our share buyback activity."</w:t>
      </w:r>
    </w:p>
    <w:p>
      <w:pPr>
        <w:pStyle w:val="Compact"/>
        <w:numPr>
          <w:ilvl w:val="0"/>
          <w:numId w:val="1002"/>
        </w:numPr>
      </w:pPr>
      <w:r>
        <w:t xml:space="preserve">Leasing momentum accelerated into April: renewal offers for May/June were sent at</w:t>
      </w:r>
      <w:r>
        <w:t xml:space="preserve"> </w:t>
      </w:r>
      <w:r>
        <w:rPr>
          <w:b/>
          <w:bCs/>
        </w:rPr>
        <w:t xml:space="preserve">5–5.5%</w:t>
      </w:r>
      <w:r>
        <w:t xml:space="preserve"> </w:t>
      </w:r>
      <w:r>
        <w:t xml:space="preserve">increases, roughly 100 bps above February/March offers, and blended rent change stepped up to</w:t>
      </w:r>
      <w:r>
        <w:t xml:space="preserve"> </w:t>
      </w:r>
      <w:r>
        <w:rPr>
          <w:b/>
          <w:bCs/>
        </w:rPr>
        <w:t xml:space="preserve">1.9%</w:t>
      </w:r>
      <w:r>
        <w:t xml:space="preserve"> </w:t>
      </w:r>
      <w:r>
        <w:t xml:space="preserve">in the first three weeks of April from 0.4% in Q1.</w:t>
      </w:r>
    </w:p>
    <w:p>
      <w:pPr>
        <w:pStyle w:val="Compact"/>
        <w:numPr>
          <w:ilvl w:val="0"/>
          <w:numId w:val="1002"/>
        </w:numPr>
      </w:pPr>
      <w:r>
        <w:t xml:space="preserve">Despite the beat, management</w:t>
      </w:r>
      <w:r>
        <w:t xml:space="preserve"> </w:t>
      </w:r>
      <w:r>
        <w:rPr>
          <w:b/>
          <w:bCs/>
        </w:rPr>
        <w:t xml:space="preserve">reaffirmed</w:t>
      </w:r>
      <w:r>
        <w:t xml:space="preserve"> </w:t>
      </w:r>
      <w:r>
        <w:t xml:space="preserve">(rather than raised) full-year Core FFO/FFO guidance, calling it "a disciplined and appropriate decision" given that some of the Q1 outperformance was expense timing rather than a run-rate change, and peak leasing season was still ahead.</w:t>
      </w:r>
    </w:p>
    <w:p>
      <w:r>
        <w:pict>
          <v:rect style="width:0;height:1.5pt" o:hralign="center" o:hrstd="t" o:hr="t"/>
        </w:pict>
      </w:r>
    </w:p>
    <w:bookmarkEnd w:id="10"/>
    <w:bookmarkStart w:id="11" w:name="X9ade14ddf34b4d5adf8a4a801bd158630a96a21"/>
    <w:p>
      <w:pPr>
        <w:pStyle w:val="Heading2"/>
      </w:pPr>
      <w:r>
        <w:t xml:space="preserve">3. What the Company/Street Expects for Q2</w:t>
      </w:r>
    </w:p>
    <w:p>
      <w:pPr>
        <w:pStyle w:val="FirstParagraph"/>
      </w:pPr>
      <w:r>
        <w:t xml:space="preserve">AVB's own guidance issued alongside Q1 results calls for: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 2026 Guide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EPS</w:t>
            </w:r>
          </w:p>
        </w:tc>
        <w:tc>
          <w:tcPr/>
          <w:p>
            <w:pPr>
              <w:pStyle w:val="Compact"/>
            </w:pPr>
            <w:r>
              <w:t xml:space="preserve">$1.23 – $1.33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FFO/share</w:t>
            </w:r>
          </w:p>
        </w:tc>
        <w:tc>
          <w:tcPr/>
          <w:p>
            <w:pPr>
              <w:pStyle w:val="Compact"/>
            </w:pPr>
            <w:r>
              <w:t xml:space="preserve">$2.68 – $2.78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Core FFO/share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$2.72 – $2.82</w:t>
            </w:r>
          </w:p>
        </w:tc>
      </w:tr>
    </w:tbl>
    <w:p>
      <w:pPr>
        <w:pStyle w:val="BodyText"/>
      </w:pPr>
      <w:r>
        <w:t xml:space="preserve">Wall Street consensus sits at the</w:t>
      </w:r>
      <w:r>
        <w:t xml:space="preserve"> </w:t>
      </w:r>
      <w:r>
        <w:rPr>
          <w:b/>
          <w:bCs/>
        </w:rPr>
        <w:t xml:space="preserve">high end of that range — roughly $2.80</w:t>
      </w:r>
      <w:r>
        <w:t xml:space="preserve">, essentially flat versus $2.83 in the year-ago quarter, with same-store revenue expected up about</w:t>
      </w:r>
      <w:r>
        <w:t xml:space="preserve"> </w:t>
      </w:r>
      <w:r>
        <w:rPr>
          <w:b/>
          <w:bCs/>
        </w:rPr>
        <w:t xml:space="preserve">1.7%</w:t>
      </w:r>
      <w:r>
        <w:t xml:space="preserve"> </w:t>
      </w:r>
      <w:r>
        <w:t xml:space="preserve">year-over-year and same-store NOI growth more modest given opex pressure (property taxes, insurance, payroll, utilities). Sell-side previews flag that</w:t>
      </w:r>
      <w:r>
        <w:t xml:space="preserve"> </w:t>
      </w:r>
      <w:r>
        <w:rPr>
          <w:b/>
          <w:bCs/>
        </w:rPr>
        <w:t xml:space="preserve">rising interest expense remains a headwind</w:t>
      </w:r>
      <w:r>
        <w:t xml:space="preserve"> </w:t>
      </w:r>
      <w:r>
        <w:t xml:space="preserve">even as a favorable new-supply backdrop (near-record-low apartment deliveries in AVB's core coastal markets) and elevated homeownership costs continue to support occupancy and limit move-outs.</w:t>
      </w:r>
    </w:p>
    <w:p>
      <w:pPr>
        <w:pStyle w:val="BodyText"/>
      </w:pPr>
      <w:r>
        <w:t xml:space="preserve">Full-year 2026 guidance (reaffirmed as of the Q1 call) still calls for:</w:t>
      </w:r>
    </w:p>
    <w:p>
      <w:pPr>
        <w:pStyle w:val="Compact"/>
        <w:numPr>
          <w:ilvl w:val="0"/>
          <w:numId w:val="1003"/>
        </w:numPr>
      </w:pPr>
      <w:r>
        <w:t xml:space="preserve">Same-store residential revenue growth of</w:t>
      </w:r>
      <w:r>
        <w:t xml:space="preserve"> </w:t>
      </w:r>
      <w:r>
        <w:rPr>
          <w:b/>
          <w:bCs/>
        </w:rPr>
        <w:t xml:space="preserve">0.4%–2.4%</w:t>
      </w:r>
    </w:p>
    <w:p>
      <w:pPr>
        <w:pStyle w:val="Compact"/>
        <w:numPr>
          <w:ilvl w:val="0"/>
          <w:numId w:val="1003"/>
        </w:numPr>
      </w:pPr>
      <w:r>
        <w:t xml:space="preserve">Same-store opex growth of</w:t>
      </w:r>
      <w:r>
        <w:t xml:space="preserve"> </w:t>
      </w:r>
      <w:r>
        <w:rPr>
          <w:b/>
          <w:bCs/>
        </w:rPr>
        <w:t xml:space="preserve">2.7%–4.9%</w:t>
      </w:r>
    </w:p>
    <w:p>
      <w:pPr>
        <w:pStyle w:val="Compact"/>
        <w:numPr>
          <w:ilvl w:val="0"/>
          <w:numId w:val="1003"/>
        </w:numPr>
      </w:pPr>
      <w:r>
        <w:t xml:space="preserve">Same-store NOI change of</w:t>
      </w:r>
      <w:r>
        <w:t xml:space="preserve"> </w:t>
      </w:r>
      <w:r>
        <w:rPr>
          <w:b/>
          <w:bCs/>
        </w:rPr>
        <w:t xml:space="preserve">(0.7)%–1.3%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Core FFO/share of</w:t>
      </w:r>
      <w:r>
        <w:rPr>
          <w:b/>
          <w:bCs/>
        </w:rPr>
        <w:t xml:space="preserve"> </w:t>
      </w:r>
      <m:oMath>
        <m:r>
          <m:t>11.00</m:t>
        </m:r>
        <m:r>
          <m:rPr>
            <m:sty m:val="p"/>
          </m:rPr>
          <m:t>–</m:t>
        </m:r>
      </m:oMath>
      <w:r>
        <w:rPr>
          <w:b/>
          <w:bCs/>
        </w:rPr>
        <w:t xml:space="preserve">11.50</w:t>
      </w:r>
      <w:r>
        <w:t xml:space="preserve"> </w:t>
      </w:r>
      <w:r>
        <w:t xml:space="preserve">(midpoint $11.25, vs. $11.24 in 2025)</w:t>
      </w:r>
    </w:p>
    <w:p>
      <w:pPr>
        <w:pStyle w:val="Compact"/>
        <w:numPr>
          <w:ilvl w:val="0"/>
          <w:numId w:val="1003"/>
        </w:numPr>
      </w:pPr>
      <w:r>
        <w:t xml:space="preserve">Full-year EPS guidance was bumped to</w:t>
      </w:r>
      <w:r>
        <w:t xml:space="preserve"> </w:t>
      </w:r>
      <m:oMath>
        <m:r>
          <m:t>5.92</m:t>
        </m:r>
        <m:r>
          <m:rPr>
            <m:sty m:val="p"/>
          </m:rPr>
          <m:t>–</m:t>
        </m:r>
      </m:oMath>
      <w:r>
        <w:rPr>
          <w:b/>
          <w:bCs/>
        </w:rPr>
        <w:t xml:space="preserve">6.42</w:t>
      </w:r>
      <w:r>
        <w:t xml:space="preserve">, reflecting a change in the mix of planned dispositions (gain-on-sale timing), not an operating change.</w:t>
      </w:r>
    </w:p>
    <w:p>
      <w:pPr>
        <w:pStyle w:val="FirstParagraph"/>
      </w:pPr>
      <w:r>
        <w:t xml:space="preserve">Management's internal math assumes full-year blended rent change of</w:t>
      </w:r>
      <w:r>
        <w:t xml:space="preserve"> </w:t>
      </w:r>
      <w:r>
        <w:rPr>
          <w:b/>
          <w:bCs/>
        </w:rPr>
        <w:t xml:space="preserve">~2%</w:t>
      </w:r>
      <w:r>
        <w:t xml:space="preserve"> </w:t>
      </w:r>
      <w:r>
        <w:t xml:space="preserve">(1.25% in H1, 2.5% in H2), built on ~0% new-lease growth and ~3.5% renewals. The Q1 call flagged that this second-half acceleration hinges on (1) the cumulative benefit of low new supply and (2) easier year-over-year comps in H2 2025, when several markets softened. Investors should watch whether Q2 results/trends keep this bridge intact.</w:t>
      </w:r>
    </w:p>
    <w:p>
      <w:r>
        <w:pict>
          <v:rect style="width:0;height:1.5pt" o:hralign="center" o:hrstd="t" o:hr="t"/>
        </w:pict>
      </w:r>
    </w:p>
    <w:bookmarkEnd w:id="11"/>
    <w:bookmarkStart w:id="12" w:name="X386b842ee6a62658d9e1eee10a26f37dadbaa3f"/>
    <w:p>
      <w:pPr>
        <w:pStyle w:val="Heading2"/>
      </w:pPr>
      <w:r>
        <w:t xml:space="preserve">4. Key Operating Trends to Watch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Regional divergence:</w:t>
      </w:r>
      <w:r>
        <w:t xml:space="preserve"> </w:t>
      </w:r>
      <w:r>
        <w:t xml:space="preserve">New York Metro and Northern California (especially San Francisco/San Jose, with early signs of spillover into the East Bay) have been the standout markets, running ahead of budget. The Mid-Atlantic has stabilized after a rough 2025 as job-cut fears fade.</w:t>
      </w:r>
      <w:r>
        <w:t xml:space="preserve"> </w:t>
      </w:r>
      <w:r>
        <w:rPr>
          <w:b/>
          <w:bCs/>
        </w:rPr>
        <w:t xml:space="preserve">Boston, LA, and Seattle</w:t>
      </w:r>
      <w:r>
        <w:t xml:space="preserve"> </w:t>
      </w:r>
      <w:r>
        <w:t xml:space="preserve">remain the laggards, with LA still lacking a clear demand catalyst beyond reduced supply.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Denver</w:t>
      </w:r>
      <w:r>
        <w:t xml:space="preserve"> </w:t>
      </w:r>
      <w:r>
        <w:t xml:space="preserve">continues to show the steepest rent declines among AVB's markets (roughly -10% like-term effective rent change in Q1), a segment worth monitoring for signs of stabilization.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Lease-up portfolio:</w:t>
      </w:r>
      <w:r>
        <w:t xml:space="preserve"> </w:t>
      </w:r>
      <w:r>
        <w:t xml:space="preserve">Development communities in lease-up posted very strong Q1 velocity (32 units/month vs. ~23 historically) at rents slightly above pro forma, an encouraging sign for the ramp in development NOI.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Turnover/occupancy:</w:t>
      </w:r>
      <w:r>
        <w:t xml:space="preserve"> </w:t>
      </w:r>
      <w:r>
        <w:t xml:space="preserve">Turnover has fallen to historic lows (helped by weak for-sale housing affordability and low competing supply), supporting occupancy in the mid-to-high 96% range — watch for confirmation this held through Q2's peak leasing period.</w:t>
      </w:r>
    </w:p>
    <w:p>
      <w:r>
        <w:pict>
          <v:rect style="width:0;height:1.5pt" o:hralign="center" o:hrstd="t" o:hr="t"/>
        </w:pict>
      </w:r>
    </w:p>
    <w:bookmarkEnd w:id="12"/>
    <w:bookmarkStart w:id="13" w:name="X08b369059782acc7cacecb68e554a329948a705"/>
    <w:p>
      <w:pPr>
        <w:pStyle w:val="Heading2"/>
      </w:pPr>
      <w:r>
        <w:t xml:space="preserve">5. Capital Allocation &amp; Balance Sheet</w:t>
      </w:r>
    </w:p>
    <w:p>
      <w:pPr>
        <w:pStyle w:val="Compact"/>
        <w:numPr>
          <w:ilvl w:val="0"/>
          <w:numId w:val="1005"/>
        </w:numPr>
      </w:pPr>
      <w:r>
        <w:t xml:space="preserve">AVB has been active on</w:t>
      </w:r>
      <w:r>
        <w:t xml:space="preserve"> </w:t>
      </w:r>
      <w:r>
        <w:rPr>
          <w:b/>
          <w:bCs/>
        </w:rPr>
        <w:t xml:space="preserve">both sides</w:t>
      </w:r>
      <w:r>
        <w:t xml:space="preserve"> </w:t>
      </w:r>
      <w:r>
        <w:t xml:space="preserve">of the capital-recycling ledger:</w:t>
      </w:r>
      <w:r>
        <w:t xml:space="preserve"> </w:t>
      </w:r>
      <m:oMath>
        <m:r>
          <m:t>340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Q</m:t>
        </m:r>
        <m:r>
          <m:t>1</m:t>
        </m:r>
        <m:r>
          <m:t>d</m:t>
        </m:r>
        <m:r>
          <m:t>i</m:t>
        </m:r>
        <m:r>
          <m:t>s</m:t>
        </m:r>
        <m:r>
          <m:t>p</m:t>
        </m:r>
        <m:r>
          <m:t>o</m:t>
        </m:r>
        <m:r>
          <m:t>s</m:t>
        </m:r>
        <m:r>
          <m:t>i</m:t>
        </m:r>
        <m:r>
          <m:t>t</m:t>
        </m:r>
        <m:r>
          <m:t>i</m:t>
        </m:r>
        <m:r>
          <m:t>o</m:t>
        </m:r>
        <m:r>
          <m:t>n</m:t>
        </m:r>
        <m:r>
          <m:t>s</m:t>
        </m:r>
        <m:r>
          <m:rPr>
            <m:sty m:val="p"/>
          </m:rPr>
          <m:t>(</m:t>
        </m:r>
        <m:r>
          <m:t>o</m:t>
        </m:r>
        <m:r>
          <m:t>l</m:t>
        </m:r>
        <m:r>
          <m:t>d</m:t>
        </m:r>
        <m:r>
          <m:t>e</m:t>
        </m:r>
        <m:r>
          <m:t>r</m:t>
        </m:r>
        <m:r>
          <m:rPr>
            <m:sty m:val="p"/>
          </m:rPr>
          <m:t>,</m:t>
        </m:r>
        <m:r>
          <m:t>h</m:t>
        </m:r>
        <m:r>
          <m:t>i</m:t>
        </m:r>
        <m:r>
          <m:t>g</m:t>
        </m:r>
        <m:r>
          <m:t>h</m:t>
        </m:r>
        <m:r>
          <m:rPr>
            <m:sty m:val="p"/>
          </m:rPr>
          <m:t>−</m:t>
        </m:r>
        <m:r>
          <m:t>r</m:t>
        </m:r>
        <m:r>
          <m:t>i</m:t>
        </m:r>
        <m:r>
          <m:t>s</m:t>
        </m:r>
        <m:r>
          <m:t>e</m:t>
        </m:r>
        <m:r>
          <m:t>a</m:t>
        </m:r>
        <m:r>
          <m:t>s</m:t>
        </m:r>
        <m:r>
          <m:t>s</m:t>
        </m:r>
        <m:r>
          <m:t>e</m:t>
        </m:r>
        <m:r>
          <m:t>t</m:t>
        </m:r>
        <m:r>
          <m:t>s</m:t>
        </m:r>
        <m:r>
          <m:rPr>
            <m:sty m:val="p"/>
          </m:rPr>
          <m:t>,</m:t>
        </m:r>
        <m:r>
          <m:t>e</m:t>
        </m:r>
        <m:r>
          <m:rPr>
            <m:sty m:val="p"/>
          </m:rPr>
          <m:t>.</m:t>
        </m:r>
        <m:r>
          <m:t>g</m:t>
        </m:r>
        <m:r>
          <m:rPr>
            <m:sty m:val="p"/>
          </m:rPr>
          <m:t>.</m:t>
        </m:r>
        <m:r>
          <m:rPr>
            <m:sty m:val="p"/>
          </m:rPr>
          <m:t>,</m:t>
        </m:r>
        <m:r>
          <m:t>a</m:t>
        </m:r>
        <m:r>
          <m:t>60</m:t>
        </m:r>
        <m:r>
          <m:rPr>
            <m:sty m:val="p"/>
          </m:rPr>
          <m:t>+</m:t>
        </m:r>
        <m:r>
          <m:t>y</m:t>
        </m:r>
        <m:r>
          <m:t>e</m:t>
        </m:r>
        <m:r>
          <m:t>a</m:t>
        </m:r>
        <m:r>
          <m:t>r</m:t>
        </m:r>
        <m:r>
          <m:rPr>
            <m:sty m:val="p"/>
          </m:rPr>
          <m:t>−</m:t>
        </m:r>
        <m:r>
          <m:t>o</m:t>
        </m:r>
        <m:r>
          <m:t>l</m:t>
        </m:r>
        <m:r>
          <m:t>d</m:t>
        </m:r>
        <m:r>
          <m:t>S</m:t>
        </m:r>
        <m:r>
          <m:t>a</m:t>
        </m:r>
        <m:r>
          <m:t>n</m:t>
        </m:r>
        <m:r>
          <m:t>F</m:t>
        </m:r>
        <m:r>
          <m:t>r</m:t>
        </m:r>
        <m:r>
          <m:t>a</m:t>
        </m:r>
        <m:r>
          <m:t>n</m:t>
        </m:r>
        <m:r>
          <m:t>c</m:t>
        </m:r>
        <m:r>
          <m:t>i</m:t>
        </m:r>
        <m:r>
          <m:t>s</m:t>
        </m:r>
        <m:r>
          <m:t>c</m:t>
        </m:r>
        <m:r>
          <m:t>o</m:t>
        </m:r>
        <m:r>
          <m:t>t</m:t>
        </m:r>
        <m:r>
          <m:t>o</m:t>
        </m:r>
        <m:r>
          <m:t>w</m:t>
        </m:r>
        <m:r>
          <m:t>e</m:t>
        </m:r>
        <m:r>
          <m:t>r</m:t>
        </m:r>
        <m:r>
          <m:rPr>
            <m:sty m:val="p"/>
          </m:rPr>
          <m:t>)</m:t>
        </m:r>
        <m:r>
          <m:t>f</m:t>
        </m:r>
        <m:r>
          <m:t>u</m:t>
        </m:r>
        <m:r>
          <m:t>n</m:t>
        </m:r>
        <m:r>
          <m:t>d</m:t>
        </m:r>
        <m:r>
          <m:t>i</m:t>
        </m:r>
        <m:r>
          <m:t>n</m:t>
        </m:r>
        <m:r>
          <m:t>g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198 million of share buybacks** at an implied low-6% cap rate — a trade management considers highly accretive given the public/private valuation gap.</w:t>
      </w:r>
    </w:p>
    <w:p>
      <w:pPr>
        <w:pStyle w:val="Compact"/>
        <w:numPr>
          <w:ilvl w:val="0"/>
          <w:numId w:val="1005"/>
        </w:numPr>
      </w:pPr>
      <w:r>
        <w:t xml:space="preserve">A new</w:t>
      </w:r>
      <w:r>
        <w:t xml:space="preserve"> </w:t>
      </w:r>
      <m:oMath>
        <m:r>
          <m:t>1.0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r</m:t>
        </m:r>
        <m:r>
          <m:t>e</m:t>
        </m:r>
        <m:r>
          <m:t>p</m:t>
        </m:r>
        <m:r>
          <m:t>u</m:t>
        </m:r>
        <m:r>
          <m:t>r</m:t>
        </m:r>
        <m:r>
          <m:t>c</m:t>
        </m:r>
        <m:r>
          <m:t>h</m:t>
        </m:r>
        <m:r>
          <m:t>a</m:t>
        </m:r>
        <m:r>
          <m:t>s</m:t>
        </m:r>
        <m:r>
          <m:t>e</m:t>
        </m:r>
        <m:r>
          <m:t>a</m:t>
        </m:r>
        <m:r>
          <m:t>u</m:t>
        </m:r>
        <m:r>
          <m:t>t</m:t>
        </m:r>
        <m:r>
          <m:t>h</m:t>
        </m:r>
        <m:r>
          <m:t>o</m:t>
        </m:r>
        <m:r>
          <m:t>r</m:t>
        </m:r>
        <m:r>
          <m:t>i</m:t>
        </m:r>
        <m:r>
          <m:t>z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w</m:t>
        </m:r>
        <m:r>
          <m:t>a</m:t>
        </m:r>
        <m:r>
          <m:t>s</m:t>
        </m:r>
        <m:r>
          <m:t>a</m:t>
        </m:r>
        <m:r>
          <m:t>d</m:t>
        </m:r>
        <m:r>
          <m:t>o</m:t>
        </m:r>
        <m:r>
          <m:t>p</m:t>
        </m:r>
        <m:r>
          <m:t>t</m:t>
        </m:r>
        <m:r>
          <m:t>e</m:t>
        </m:r>
        <m:r>
          <m:t>d</m:t>
        </m:r>
        <m:r>
          <m:t>i</m:t>
        </m:r>
        <m:r>
          <m:t>n</m:t>
        </m:r>
        <m:r>
          <m:t>F</m:t>
        </m:r>
        <m:r>
          <m:t>e</m:t>
        </m:r>
        <m:r>
          <m:t>b</m:t>
        </m:r>
        <m:r>
          <m:t>r</m:t>
        </m:r>
        <m:r>
          <m:t>u</m:t>
        </m:r>
        <m:r>
          <m:t>a</m:t>
        </m:r>
        <m:r>
          <m:t>r</m:t>
        </m:r>
        <m:r>
          <m:t>y</m:t>
        </m:r>
        <m:r>
          <m:t>2026</m:t>
        </m:r>
        <m:r>
          <m:rPr>
            <m:sty m:val="p"/>
          </m:rPr>
          <m:t>,</m:t>
        </m:r>
        <m:r>
          <m:t>w</m:t>
        </m:r>
        <m:r>
          <m:t>i</m:t>
        </m:r>
        <m:r>
          <m:t>t</m:t>
        </m:r>
        <m:r>
          <m:t>h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914 million remaining</w:t>
      </w:r>
      <w:r>
        <w:t xml:space="preserve"> </w:t>
      </w:r>
      <w:r>
        <w:t xml:space="preserve">capacity as of the Q1 print.</w:t>
      </w:r>
    </w:p>
    <w:p>
      <w:pPr>
        <w:pStyle w:val="Compact"/>
        <w:numPr>
          <w:ilvl w:val="0"/>
          <w:numId w:val="1005"/>
        </w:numPr>
      </w:pPr>
      <w:r>
        <w:t xml:space="preserve">Leverage remains conservative:</w:t>
      </w:r>
      <w:r>
        <w:t xml:space="preserve"> </w:t>
      </w:r>
      <w:r>
        <w:rPr>
          <w:b/>
          <w:bCs/>
        </w:rPr>
        <w:t xml:space="preserve">Net Debt-to-Core EBITDAre of 4.8x</w:t>
      </w:r>
      <w:r>
        <w:t xml:space="preserve">, interest coverage of 6.5x, and</w:t>
      </w:r>
      <w:r>
        <w:t xml:space="preserve"> </w:t>
      </w:r>
      <w:r>
        <w:rPr>
          <w:b/>
          <w:bCs/>
        </w:rPr>
        <w:t xml:space="preserve">95% unencumbered NOI</w:t>
      </w:r>
      <w:r>
        <w:t xml:space="preserve"> </w:t>
      </w:r>
      <w:r>
        <w:t xml:space="preserve">— balance-sheet strength that should factor into any pro forma commentary on the combined EQR/AVB entity.</w:t>
      </w:r>
    </w:p>
    <w:p>
      <w:pPr>
        <w:pStyle w:val="Compact"/>
        <w:numPr>
          <w:ilvl w:val="0"/>
          <w:numId w:val="1005"/>
        </w:numPr>
      </w:pPr>
      <w:r>
        <w:t xml:space="preserve">Development pipeline: 25 wholly-owned communities under construction (~8,700 homes,</w:t>
      </w:r>
      <w:r>
        <w:t xml:space="preserve"> </w:t>
      </w:r>
      <m:oMath>
        <m:r>
          <m:t>3.4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t</m:t>
        </m:r>
        <m:r>
          <m:t>o</m:t>
        </m:r>
        <m:r>
          <m:t>t</m:t>
        </m:r>
        <m:r>
          <m:t>a</m:t>
        </m:r>
        <m:r>
          <m:t>l</m:t>
        </m:r>
        <m:r>
          <m:t>c</m:t>
        </m:r>
        <m:r>
          <m:t>a</m:t>
        </m:r>
        <m:r>
          <m:t>p</m:t>
        </m:r>
        <m:r>
          <m:t>i</m:t>
        </m:r>
        <m:r>
          <m:t>t</m:t>
        </m:r>
        <m:r>
          <m:t>a</m:t>
        </m:r>
        <m:r>
          <m:t>l</m:t>
        </m:r>
        <m:r>
          <m:t>c</m:t>
        </m:r>
        <m:r>
          <m:t>o</m:t>
        </m:r>
        <m:r>
          <m:t>s</m:t>
        </m:r>
        <m:r>
          <m:t>t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w</m:t>
        </m:r>
        <m:r>
          <m:t>i</m:t>
        </m:r>
        <m:r>
          <m:t>t</m:t>
        </m:r>
        <m:r>
          <m:t>h</m:t>
        </m:r>
        <m:r>
          <m:t>d</m:t>
        </m:r>
        <m:r>
          <m:t>e</m:t>
        </m:r>
        <m:r>
          <m:t>v</m:t>
        </m:r>
        <m:r>
          <m:t>e</m:t>
        </m:r>
        <m:r>
          <m:t>l</m:t>
        </m:r>
        <m:r>
          <m:t>o</m:t>
        </m:r>
        <m:r>
          <m:t>p</m:t>
        </m:r>
        <m:r>
          <m:t>m</m:t>
        </m:r>
        <m:r>
          <m:t>e</m:t>
        </m:r>
        <m:r>
          <m:t>n</m:t>
        </m:r>
        <m:r>
          <m:t>t</m:t>
        </m:r>
        <m:r>
          <m:t>N</m:t>
        </m:r>
        <m:r>
          <m:t>O</m:t>
        </m:r>
        <m:r>
          <m:t>I</m:t>
        </m:r>
        <m:r>
          <m:t>e</m:t>
        </m:r>
        <m:r>
          <m:t>x</m:t>
        </m:r>
        <m:r>
          <m:t>p</m:t>
        </m:r>
        <m:r>
          <m:t>e</m:t>
        </m:r>
        <m:r>
          <m:t>c</m:t>
        </m:r>
        <m:r>
          <m:t>t</m:t>
        </m:r>
        <m:r>
          <m:t>e</m:t>
        </m:r>
        <m:r>
          <m:t>d</m:t>
        </m:r>
        <m:r>
          <m:t>t</m:t>
        </m:r>
        <m:r>
          <m:t>o</m:t>
        </m:r>
        <m:r>
          <m:t>r</m:t>
        </m:r>
        <m:r>
          <m:t>a</m:t>
        </m:r>
        <m:r>
          <m:t>m</m:t>
        </m:r>
        <m:r>
          <m:t>p</m:t>
        </m:r>
        <m:r>
          <m:t>f</m:t>
        </m:r>
        <m:r>
          <m:t>r</m:t>
        </m:r>
        <m:r>
          <m:t>o</m:t>
        </m:r>
        <m:r>
          <m:t>m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47 million in 2026 to $120 million in 2027**. Management has signaled flexibility to lean further into development or buybacks depending on relative pricing — a dynamic that could shift once the EQR deal closes.</w:t>
      </w:r>
    </w:p>
    <w:p>
      <w:r>
        <w:pict>
          <v:rect style="width:0;height:1.5pt" o:hralign="center" o:hrstd="t" o:hr="t"/>
        </w:pict>
      </w:r>
    </w:p>
    <w:bookmarkEnd w:id="13"/>
    <w:bookmarkStart w:id="14" w:name="Xee85675d6bd633eebaf8ec914d840b1e997c23c"/>
    <w:p>
      <w:pPr>
        <w:pStyle w:val="Heading2"/>
      </w:pPr>
      <w:r>
        <w:t xml:space="preserve">6. Key Questions for Tomorrow's Call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Merger mechanics:</w:t>
      </w:r>
      <w:r>
        <w:t xml:space="preserve"> </w:t>
      </w:r>
      <w:r>
        <w:t xml:space="preserve">Any update on regulatory review, integration planning cadence, or synergy realization timeline ahead of the August 12 shareholder votes?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Guidance discipline:</w:t>
      </w:r>
      <w:r>
        <w:t xml:space="preserve"> </w:t>
      </w:r>
      <w:r>
        <w:t xml:space="preserve">Does management raise full-year Core FFO guidance given the accelerating rent-change trajectory, or hold the line again, citing the still-early peak leasing season (as it did after the Q1 beat)?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Capital allocation cadence pre-close:</w:t>
      </w:r>
      <w:r>
        <w:t xml:space="preserve"> </w:t>
      </w:r>
      <w:r>
        <w:t xml:space="preserve">Will buybacks/dispositions continue at the recent pace, or does the pending deal constrain "hold separate" capital activity?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Regional inflection points:</w:t>
      </w:r>
      <w:r>
        <w:t xml:space="preserve"> </w:t>
      </w:r>
      <w:r>
        <w:t xml:space="preserve">Is the Mid-Atlantic's stabilization continuing, and is there any incremental data on Denver, LA, Boston or Seattle turning a corner?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Renewal vs. new-lease spread:</w:t>
      </w:r>
      <w:r>
        <w:t xml:space="preserve"> </w:t>
      </w:r>
      <w:r>
        <w:t xml:space="preserve">Given renewal offers were already running 5–5.5% into peak season, does managements now expect to beat its full-year 2% blended rent growth assumption, or hold to prior conservatism as it did on the Q1 call?</w:t>
      </w:r>
    </w:p>
    <w:p>
      <w:r>
        <w:pict>
          <v:rect style="width:0;height:1.5pt" o:hralign="center" o:hrstd="t" o:hr="t"/>
        </w:pict>
      </w:r>
    </w:p>
    <w:bookmarkEnd w:id="14"/>
    <w:bookmarkStart w:id="15" w:name="X58405cfeb236528800c384489c48fd77eb7236a"/>
    <w:p>
      <w:pPr>
        <w:pStyle w:val="Heading2"/>
      </w:pPr>
      <w:r>
        <w:t xml:space="preserve">7. Bottom Line for Investors</w:t>
      </w:r>
    </w:p>
    <w:p>
      <w:pPr>
        <w:pStyle w:val="FirstParagraph"/>
      </w:pPr>
      <w:r>
        <w:t xml:space="preserve">AVB heads into Q2 earnings with solid fundamentals — record-low turnover, resilient occupancy near 96%, a constructive new-supply backdrop, and an accelerating rent-growth trajectory into the back half of 2026 — but the stock's near-term setup is dominated by the pending</w:t>
      </w:r>
      <w:r>
        <w:t xml:space="preserve"> </w:t>
      </w:r>
      <w:r>
        <w:rPr>
          <w:b/>
          <w:bCs/>
        </w:rPr>
        <w:t xml:space="preserve">all-stock merger of equals with Equity Residential</w:t>
      </w:r>
      <w:r>
        <w:t xml:space="preserve">. With shares trading almost exactly at the implied deal value and a shareholder vote just three weeks away, tomorrow's print is likely to be judged less on a beat-or-miss basis and more on (a) whether operating trends support the full-year guide/synergy case for the combined company, and (b) any incremental color on integration and deal timing.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2026-07-22T00:56:18Z</dcterms:created>
  <dcterms:modified xsi:type="dcterms:W3CDTF">2026-07-22T00:56:18Z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