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~$2.82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revenue growth (Q2 2026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~1.8% vs. cons 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NOI growth (Q2 2026 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~0.1% vs. cons 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 per share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~$11.25 vs. cons $11.40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residential revenue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~1.6% vs. cons 1.5%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net merger operating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~$125M vs. cons $125M (annual run-rate post-close)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(FOLLOW-THROUGH)</w:t>
            </w:r>
          </w:p>
        </w:tc>
        <w:tc>
          <w:tcPr/>
          <w:p>
            <w:pPr>
              <w:pStyle w:val="Compact"/>
            </w:pPr>
            <w:r>
              <w:t xml:space="preserve">An in-line ~$2.82 Q2 print versus</w:t>
            </w:r>
            <w:r>
              <w:t xml:space="preserve"> </w:t>
            </w:r>
            <m:oMath>
              <m:r>
                <m:t>2.80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F</m:t>
              </m:r>
              <m:r>
                <m:t>F</m:t>
              </m:r>
              <m:r>
                <m:t>O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11.25 versus $11.40 consensus. That implies roughly</w:t>
            </w:r>
            <w:r>
              <w:t xml:space="preserve"> </w:t>
            </w:r>
            <m:oMath>
              <m:r>
                <m:t>5.60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F</m:t>
              </m:r>
              <m:r>
                <m:t>F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 </m:t>
              </m:r>
            </m:oMath>
            <w:r>
              <w:t xml:space="preserve">5.77, prompting modest estimate cuts after the initial report; however, the fixed 2.793-share EQR exchange ratio should limit AVB-specific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2026-07-22T00:51:43Z</dcterms:created>
  <dcterms:modified xsi:type="dcterms:W3CDTF">2026-07-22T00:51:43Z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