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avb-q2-2026-earnings-preview"/>
    <w:p>
      <w:pPr>
        <w:pStyle w:val="Heading1"/>
      </w:pPr>
      <w:r>
        <w:t xml:space="preserve">AVB Q2 2026 Earnings Preview</w:t>
      </w:r>
    </w:p>
    <w:p>
      <w:pPr>
        <w:pStyle w:val="BlockText"/>
      </w:pPr>
      <w:r>
        <w:rPr>
          <w:b/>
          <w:bCs/>
        </w:rPr>
        <w:t xml:space="preserve">Timing clarification:</w:t>
      </w:r>
      <w:r>
        <w:t xml:space="preserve"> </w:t>
      </w:r>
      <w:r>
        <w:t xml:space="preserve">AvalonBay Communities reports</w:t>
      </w:r>
      <w:r>
        <w:t xml:space="preserve"> </w:t>
      </w:r>
      <w:r>
        <w:rPr>
          <w:b/>
          <w:bCs/>
        </w:rPr>
        <w:t xml:space="preserve">today, Wednesday, July 22, 2026, after the market close</w:t>
      </w:r>
      <w:r>
        <w:t xml:space="preserve">—not tomorrow. Because of its pending merger with Equity Residential, AVB will</w:t>
      </w:r>
      <w:r>
        <w:t xml:space="preserve"> </w:t>
      </w:r>
      <w:r>
        <w:rPr>
          <w:b/>
          <w:bCs/>
        </w:rPr>
        <w:t xml:space="preserve">not hold an earnings call</w:t>
      </w:r>
      <w:r>
        <w:t xml:space="preserve">; management will publish an investor presentation with the release. (</w:t>
      </w:r>
      <w:hyperlink r:id="rId9">
        <w:r>
          <w:rPr>
            <w:rStyle w:val="Hyperlink"/>
          </w:rPr>
          <w:t xml:space="preserve">investors.avalonbay.com</w:t>
        </w:r>
      </w:hyperlink>
      <w:r>
        <w:t xml:space="preserve">)</w:t>
      </w:r>
    </w:p>
    <w:bookmarkStart w:id="10" w:name="the-setup"/>
    <w:p>
      <w:pPr>
        <w:pStyle w:val="Heading2"/>
      </w:pPr>
      <w:r>
        <w:t xml:space="preserve">The setup</w:t>
      </w:r>
    </w:p>
    <w:p>
      <w:pPr>
        <w:pStyle w:val="FirstParagraph"/>
      </w:pPr>
      <w:r>
        <w:t xml:space="preserve">This is no longer a conventional standalone earnings event. AVB’s operating results still matter, but the stock is now effectively trading as a claim on</w:t>
      </w:r>
      <w:r>
        <w:t xml:space="preserve"> </w:t>
      </w:r>
      <w:r>
        <w:rPr>
          <w:b/>
          <w:bCs/>
        </w:rPr>
        <w:t xml:space="preserve">2.793 EQR shares</w:t>
      </w:r>
      <w:r>
        <w:t xml:space="preserve">, subject to the merger closing.</w:t>
      </w:r>
    </w:p>
    <w:p>
      <w:pPr>
        <w:pStyle w:val="BodyText"/>
      </w:pPr>
      <w:r>
        <w:t xml:space="preserve">Using the July 21 closing prices: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AVB:</w:t>
      </w:r>
      <w:r>
        <w:t xml:space="preserve"> </w:t>
      </w:r>
      <w:r>
        <w:t xml:space="preserve">$190.68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EQR:</w:t>
      </w:r>
      <w:r>
        <w:t xml:space="preserve"> </w:t>
      </w:r>
      <w:r>
        <w:t xml:space="preserve">$68.31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Implied merger consideration:</w:t>
      </w:r>
      <w:r>
        <w:t xml:space="preserve"> </w:t>
      </w:r>
      <w:r>
        <w:t xml:space="preserve">$190.79 per AVB share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Implied spread:</w:t>
      </w:r>
      <w:r>
        <w:t xml:space="preserve"> </w:t>
      </w:r>
      <w:r>
        <w:t xml:space="preserve">approximately</w:t>
      </w:r>
      <w:r>
        <w:t xml:space="preserve"> </w:t>
      </w:r>
      <w:r>
        <w:rPr>
          <w:b/>
          <w:bCs/>
        </w:rPr>
        <w:t xml:space="preserve">0.1%</w:t>
      </w:r>
    </w:p>
    <w:p>
      <w:pPr>
        <w:pStyle w:val="FirstParagraph"/>
      </w:pPr>
      <w:r>
        <w:t xml:space="preserve">That negligible spread means the market assigns little near-term probability to a deal break. Consequently, investors should evaluate the report through two lenses: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Is the underlying apartment portfolio performing at least as well as expected?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Does anything change the value, timing or risk of the EQR transaction?</w:t>
      </w:r>
    </w:p>
    <w:bookmarkEnd w:id="10"/>
    <w:bookmarkStart w:id="13" w:name="headline-expectations"/>
    <w:p>
      <w:pPr>
        <w:pStyle w:val="Heading2"/>
      </w:pPr>
      <w:r>
        <w:t xml:space="preserve">Headline expectations</w:t>
      </w:r>
    </w:p>
    <w:p>
      <w:pPr>
        <w:pStyle w:val="FirstParagraph"/>
      </w:pPr>
      <w:r>
        <w:t xml:space="preserve">AVB’s second-quarter guidance calls for: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2026 guidance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Midpoint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GAAP EPS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1.23</m:t>
              </m:r>
              <m:r>
                <m:rPr>
                  <m:sty m:val="p"/>
                </m:rPr>
                <m:t>–</m:t>
              </m:r>
            </m:oMath>
            <w:r>
              <w:t xml:space="preserve">1.33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$1.28</w:t>
            </w:r>
          </w:p>
        </w:tc>
      </w:tr>
      <w:tr>
        <w:tc>
          <w:tcPr/>
          <w:p>
            <w:pPr>
              <w:pStyle w:val="Compact"/>
            </w:pPr>
            <w:r>
              <w:t xml:space="preserve">FFO/share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2.68</m:t>
              </m:r>
              <m:r>
                <m:rPr>
                  <m:sty m:val="p"/>
                </m:rPr>
                <m:t>–</m:t>
              </m:r>
            </m:oMath>
            <w:r>
              <w:t xml:space="preserve">2.78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$2.73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Core FFO/share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2.72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2.82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$2.77</w:t>
            </w:r>
          </w:p>
        </w:tc>
      </w:tr>
    </w:tbl>
    <w:p>
      <w:pPr>
        <w:pStyle w:val="BodyText"/>
      </w:pPr>
      <w:r>
        <w:t xml:space="preserve">The published consensus for</w:t>
      </w:r>
      <w:r>
        <w:t xml:space="preserve"> </w:t>
      </w:r>
      <w:r>
        <w:rPr>
          <w:b/>
          <w:bCs/>
        </w:rPr>
        <w:t xml:space="preserve">core FFO is approximately $2.80 per share</w:t>
      </w:r>
      <w:r>
        <w:t xml:space="preserve">, slightly above management’s midpoint but within its range. (</w:t>
      </w:r>
      <w:hyperlink r:id="rId11">
        <w:r>
          <w:rPr>
            <w:rStyle w:val="Hyperlink"/>
          </w:rPr>
          <w:t xml:space="preserve">investors.avalonbay.com</w:t>
        </w:r>
      </w:hyperlink>
      <w:r>
        <w:t xml:space="preserve">)</w:t>
      </w:r>
    </w:p>
    <w:p>
      <w:pPr>
        <w:pStyle w:val="BodyText"/>
      </w:pPr>
      <w:r>
        <w:t xml:space="preserve">Core FFO is the relevant headline metric. GAAP EPS can move substantially with property-sale gains and depreciation and therefore says less about recurring performance.</w:t>
      </w:r>
    </w:p>
    <w:bookmarkStart w:id="12" w:name="what-would-constitute-a-good-report"/>
    <w:p>
      <w:pPr>
        <w:pStyle w:val="Heading3"/>
      </w:pPr>
      <w:r>
        <w:t xml:space="preserve">What would constitute a good report?</w:t>
      </w:r>
    </w:p>
    <w:p>
      <w:pPr>
        <w:pStyle w:val="FirstParagraph"/>
      </w:pPr>
      <w:r>
        <w:t xml:space="preserve">A constructive result would likely include:</w:t>
      </w:r>
    </w:p>
    <w:p>
      <w:pPr>
        <w:pStyle w:val="Compact"/>
        <w:numPr>
          <w:ilvl w:val="0"/>
          <w:numId w:val="1003"/>
        </w:numPr>
      </w:pPr>
      <w:r>
        <w:t xml:space="preserve">Core FFO of roughly</w:t>
      </w:r>
      <w:r>
        <w:t xml:space="preserve"> </w:t>
      </w:r>
      <w:r>
        <w:rPr>
          <w:b/>
          <w:bCs/>
        </w:rPr>
        <w:t xml:space="preserve">$2.80 or better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Full-year core FFO guidance of</w:t>
      </w:r>
      <w:r>
        <w:t xml:space="preserve"> </w:t>
      </w:r>
      <m:oMath>
        <m:r>
          <m:t>11.00</m:t>
        </m:r>
        <m:r>
          <m:rPr>
            <m:sty m:val="p"/>
          </m:rPr>
          <m:t>–</m:t>
        </m:r>
      </m:oMath>
      <w:r>
        <w:rPr>
          <w:b/>
          <w:bCs/>
        </w:rPr>
        <w:t xml:space="preserve">11.50</w:t>
      </w:r>
      <w:r>
        <w:t xml:space="preserve"> </w:t>
      </w:r>
      <w:r>
        <w:t xml:space="preserve">maintained or raised.</w:t>
      </w:r>
    </w:p>
    <w:p>
      <w:pPr>
        <w:pStyle w:val="Compact"/>
        <w:numPr>
          <w:ilvl w:val="0"/>
          <w:numId w:val="1003"/>
        </w:numPr>
      </w:pPr>
      <w:r>
        <w:t xml:space="preserve">Evidence that peak leasing-season rent growth accelerated as anticipated.</w:t>
      </w:r>
    </w:p>
    <w:p>
      <w:pPr>
        <w:pStyle w:val="Compact"/>
        <w:numPr>
          <w:ilvl w:val="0"/>
          <w:numId w:val="1003"/>
        </w:numPr>
      </w:pPr>
      <w:r>
        <w:t xml:space="preserve">Stable occupancy around or above 96%.</w:t>
      </w:r>
    </w:p>
    <w:p>
      <w:pPr>
        <w:pStyle w:val="Compact"/>
        <w:numPr>
          <w:ilvl w:val="0"/>
          <w:numId w:val="1003"/>
        </w:numPr>
      </w:pPr>
      <w:r>
        <w:t xml:space="preserve">No material deterioration in development lease-ups, costs or expected yields.</w:t>
      </w:r>
    </w:p>
    <w:p>
      <w:pPr>
        <w:pStyle w:val="Compact"/>
        <w:numPr>
          <w:ilvl w:val="0"/>
          <w:numId w:val="1003"/>
        </w:numPr>
      </w:pPr>
      <w:r>
        <w:t xml:space="preserve">Confirmation that the merger remains on schedule.</w:t>
      </w:r>
    </w:p>
    <w:p>
      <w:pPr>
        <w:pStyle w:val="FirstParagraph"/>
      </w:pPr>
      <w:r>
        <w:t xml:space="preserve">A core FFO beat driven entirely by transaction adjustments, lower overhead or timing would be less valuable than one supported by stronger rents and same-store revenue.</w:t>
      </w:r>
    </w:p>
    <w:bookmarkEnd w:id="12"/>
    <w:bookmarkEnd w:id="13"/>
    <w:bookmarkStart w:id="14" w:name="X86485927256a6cc4edade8325bdd064dbb89588"/>
    <w:p>
      <w:pPr>
        <w:pStyle w:val="Heading2"/>
      </w:pPr>
      <w:r>
        <w:t xml:space="preserve">The most important operating question: Did leasing momentum carry through peak season?</w:t>
      </w:r>
    </w:p>
    <w:p>
      <w:pPr>
        <w:pStyle w:val="FirstParagraph"/>
      </w:pPr>
      <w:r>
        <w:t xml:space="preserve">First-quarter fundamentals were stable but not especially strong:</w:t>
      </w:r>
    </w:p>
    <w:p>
      <w:pPr>
        <w:pStyle w:val="Compact"/>
        <w:numPr>
          <w:ilvl w:val="0"/>
          <w:numId w:val="1004"/>
        </w:numPr>
      </w:pPr>
      <w:r>
        <w:t xml:space="preserve">Same-store residential revenue increased</w:t>
      </w:r>
      <w:r>
        <w:t xml:space="preserve"> </w:t>
      </w:r>
      <w:r>
        <w:rPr>
          <w:b/>
          <w:bCs/>
        </w:rPr>
        <w:t xml:space="preserve">1.6%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Same-store expenses increased</w:t>
      </w:r>
      <w:r>
        <w:t xml:space="preserve"> </w:t>
      </w:r>
      <w:r>
        <w:rPr>
          <w:b/>
          <w:bCs/>
        </w:rPr>
        <w:t xml:space="preserve">4.7%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Same-store NOI increased only</w:t>
      </w:r>
      <w:r>
        <w:t xml:space="preserve"> </w:t>
      </w:r>
      <w:r>
        <w:rPr>
          <w:b/>
          <w:bCs/>
        </w:rPr>
        <w:t xml:space="preserve">0.2%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Economic occupancy was</w:t>
      </w:r>
      <w:r>
        <w:t xml:space="preserve"> </w:t>
      </w:r>
      <w:r>
        <w:rPr>
          <w:b/>
          <w:bCs/>
        </w:rPr>
        <w:t xml:space="preserve">96.1%</w:t>
      </w:r>
      <w:r>
        <w:t xml:space="preserve">, up 10 basis points year over year.</w:t>
      </w:r>
    </w:p>
    <w:p>
      <w:pPr>
        <w:pStyle w:val="Compact"/>
        <w:numPr>
          <w:ilvl w:val="0"/>
          <w:numId w:val="1004"/>
        </w:numPr>
      </w:pPr>
      <w:r>
        <w:t xml:space="preserve">Core FFO was unchanged at</w:t>
      </w:r>
      <w:r>
        <w:t xml:space="preserve"> </w:t>
      </w:r>
      <w:r>
        <w:rPr>
          <w:b/>
          <w:bCs/>
        </w:rPr>
        <w:t xml:space="preserve">$2.83 per share</w:t>
      </w:r>
      <w:r>
        <w:t xml:space="preserve">.</w:t>
      </w:r>
    </w:p>
    <w:p>
      <w:pPr>
        <w:pStyle w:val="FirstParagraph"/>
      </w:pPr>
      <w:r>
        <w:t xml:space="preserve">The encouraging part of Q1 was the exit rate. Portfolio-wide like-term rent change improved from</w:t>
      </w:r>
      <w:r>
        <w:t xml:space="preserve"> </w:t>
      </w:r>
      <w:r>
        <w:rPr>
          <w:b/>
          <w:bCs/>
        </w:rPr>
        <w:t xml:space="preserve">0.4% in Q1 to 1.9% in April</w:t>
      </w:r>
      <w:r>
        <w:t xml:space="preserve">. April move-in rents were down only 0.2%, while renewal rents increased 3.8%. Management also said May and June renewal offers were being sent at increases of approximately</w:t>
      </w:r>
      <w:r>
        <w:t xml:space="preserve"> </w:t>
      </w:r>
      <w:r>
        <w:rPr>
          <w:b/>
          <w:bCs/>
        </w:rPr>
        <w:t xml:space="preserve">5%–5.5%</w:t>
      </w:r>
      <w:r>
        <w:t xml:space="preserve">. (</w:t>
      </w:r>
      <w:hyperlink r:id="rId11">
        <w:r>
          <w:rPr>
            <w:rStyle w:val="Hyperlink"/>
          </w:rPr>
          <w:t xml:space="preserve">investors.avalonbay.com</w:t>
        </w:r>
      </w:hyperlink>
      <w:r>
        <w:t xml:space="preserve">)</w:t>
      </w:r>
    </w:p>
    <w:p>
      <w:pPr>
        <w:pStyle w:val="BodyText"/>
      </w:pPr>
      <w:r>
        <w:t xml:space="preserve">For Q2, investors should focus on: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Blended lease-rate growth</w:t>
      </w:r>
    </w:p>
    <w:p>
      <w:pPr>
        <w:pStyle w:val="Compact"/>
        <w:numPr>
          <w:ilvl w:val="0"/>
          <w:numId w:val="1005"/>
        </w:numPr>
      </w:pPr>
      <w:r>
        <w:t xml:space="preserve">New move-in rent change</w:t>
      </w:r>
    </w:p>
    <w:p>
      <w:pPr>
        <w:pStyle w:val="Compact"/>
        <w:numPr>
          <w:ilvl w:val="0"/>
          <w:numId w:val="1005"/>
        </w:numPr>
      </w:pPr>
      <w:r>
        <w:t xml:space="preserve">Renewal rent change and achieved renewal rates</w:t>
      </w:r>
    </w:p>
    <w:p>
      <w:pPr>
        <w:pStyle w:val="Compact"/>
        <w:numPr>
          <w:ilvl w:val="0"/>
          <w:numId w:val="1005"/>
        </w:numPr>
      </w:pPr>
      <w:r>
        <w:t xml:space="preserve">Asking-rent growth</w:t>
      </w:r>
    </w:p>
    <w:p>
      <w:pPr>
        <w:pStyle w:val="Compact"/>
        <w:numPr>
          <w:ilvl w:val="0"/>
          <w:numId w:val="1005"/>
        </w:numPr>
      </w:pPr>
      <w:r>
        <w:t xml:space="preserve">Occupancy and availability</w:t>
      </w:r>
    </w:p>
    <w:p>
      <w:pPr>
        <w:pStyle w:val="Compact"/>
        <w:numPr>
          <w:ilvl w:val="0"/>
          <w:numId w:val="1005"/>
        </w:numPr>
      </w:pPr>
      <w:r>
        <w:t xml:space="preserve">Concessions</w:t>
      </w:r>
    </w:p>
    <w:p>
      <w:pPr>
        <w:pStyle w:val="Compact"/>
        <w:numPr>
          <w:ilvl w:val="0"/>
          <w:numId w:val="1005"/>
        </w:numPr>
      </w:pPr>
      <w:r>
        <w:t xml:space="preserve">Resident turnover</w:t>
      </w:r>
    </w:p>
    <w:p>
      <w:pPr>
        <w:pStyle w:val="FirstParagraph"/>
      </w:pPr>
      <w:r>
        <w:t xml:space="preserve">Management’s original full-year assumptions contemplated approximately</w:t>
      </w:r>
      <w:r>
        <w:t xml:space="preserve"> </w:t>
      </w:r>
      <w:r>
        <w:rPr>
          <w:b/>
          <w:bCs/>
        </w:rPr>
        <w:t xml:space="preserve">2% blended rent growth</w:t>
      </w:r>
      <w:r>
        <w:t xml:space="preserve">, consisting of roughly flat new-lease pricing and 3.5% renewal growth. A material improvement in new-lease pricing would create the cleanest path to better second-half revenue.</w:t>
      </w:r>
    </w:p>
    <w:bookmarkEnd w:id="14"/>
    <w:bookmarkStart w:id="17" w:name="geographic-performance-will-matter"/>
    <w:p>
      <w:pPr>
        <w:pStyle w:val="Heading2"/>
      </w:pPr>
      <w:r>
        <w:t xml:space="preserve">Geographic performance will matter</w:t>
      </w:r>
    </w:p>
    <w:p>
      <w:pPr>
        <w:pStyle w:val="FirstParagraph"/>
      </w:pPr>
      <w:r>
        <w:t xml:space="preserve">AVB entered Q2 with a pronounced regional split.</w:t>
      </w:r>
    </w:p>
    <w:bookmarkStart w:id="15" w:name="stronger-markets"/>
    <w:p>
      <w:pPr>
        <w:pStyle w:val="Heading3"/>
      </w:pPr>
      <w:r>
        <w:t xml:space="preserve">Stronger markets</w:t>
      </w:r>
    </w:p>
    <w:p>
      <w:pPr>
        <w:pStyle w:val="FirstParagraph"/>
      </w:pPr>
      <w:r>
        <w:rPr>
          <w:b/>
          <w:bCs/>
        </w:rPr>
        <w:t xml:space="preserve">Northern California</w:t>
      </w:r>
      <w:r>
        <w:t xml:space="preserve"> </w:t>
      </w:r>
      <w:r>
        <w:t xml:space="preserve">was the clearest source of pricing power. First-quarter revenue increased 3.9%, with San Francisco up 8.1%, and April like-term rent change reached 5.4%. Healthy employment trends and limited new supply were supporting San Francisco, San Jose and, increasingly, the East Bay.</w:t>
      </w:r>
    </w:p>
    <w:p>
      <w:pPr>
        <w:pStyle w:val="BodyText"/>
      </w:pPr>
      <w:r>
        <w:rPr>
          <w:b/>
          <w:bCs/>
        </w:rPr>
        <w:t xml:space="preserve">Metro New York/New Jersey</w:t>
      </w:r>
      <w:r>
        <w:t xml:space="preserve"> </w:t>
      </w:r>
      <w:r>
        <w:t xml:space="preserve">also performed well. First-quarter revenue rose 2.1%, while April rent change reached 3.8%. New York City and Northern New Jersey were management’s strongest submarkets within the region.</w:t>
      </w:r>
    </w:p>
    <w:bookmarkEnd w:id="15"/>
    <w:bookmarkStart w:id="16" w:name="markets-to-watch"/>
    <w:p>
      <w:pPr>
        <w:pStyle w:val="Heading3"/>
      </w:pPr>
      <w:r>
        <w:t xml:space="preserve">Markets to watch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Mid-Atlantic:</w:t>
      </w:r>
      <w:r>
        <w:t xml:space="preserve"> </w:t>
      </w:r>
      <w:r>
        <w:t xml:space="preserve">Management saw stabilization after weakness associated with government and employment uncertainty. Investors should look for evidence that this market has actually turned rather than merely stopped deteriorating.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Boston, Seattle and Los Angeles:</w:t>
      </w:r>
      <w:r>
        <w:t xml:space="preserve"> </w:t>
      </w:r>
      <w:r>
        <w:t xml:space="preserve">These modestly underperformed AVB’s revenue plan in Q1.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Denver:</w:t>
      </w:r>
      <w:r>
        <w:t xml:space="preserve"> </w:t>
      </w:r>
      <w:r>
        <w:t xml:space="preserve">The weakest reported pricing market. Q1 revenue declined 3.2%, average revenue per occupied home fell 6%, and April rent change remained negative at 4%.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Expansion markets:</w:t>
      </w:r>
      <w:r>
        <w:t xml:space="preserve"> </w:t>
      </w:r>
      <w:r>
        <w:t xml:space="preserve">Austin, Dallas, the Carolinas and Florida remain exposed to greater supply than AVB’s established coastal markets.</w:t>
      </w:r>
    </w:p>
    <w:p>
      <w:pPr>
        <w:pStyle w:val="FirstParagraph"/>
      </w:pPr>
      <w:r>
        <w:t xml:space="preserve">A beat led by Northern California and New York would be consistent with the existing thesis. Broader improvement across the Mid-Atlantic and expansion markets would be more meaningful.</w:t>
      </w:r>
    </w:p>
    <w:bookmarkEnd w:id="16"/>
    <w:bookmarkEnd w:id="17"/>
    <w:bookmarkStart w:id="19" w:name="expenses-may-limit-noi-growth"/>
    <w:p>
      <w:pPr>
        <w:pStyle w:val="Heading2"/>
      </w:pPr>
      <w:r>
        <w:t xml:space="preserve">Expenses may limit NOI growth</w:t>
      </w:r>
    </w:p>
    <w:p>
      <w:pPr>
        <w:pStyle w:val="FirstParagraph"/>
      </w:pPr>
      <w:r>
        <w:t xml:space="preserve">The main obstacle to earnings acceleration is operating-cost inflation.</w:t>
      </w:r>
    </w:p>
    <w:p>
      <w:pPr>
        <w:pStyle w:val="BodyText"/>
      </w:pPr>
      <w:r>
        <w:t xml:space="preserve">During Q1:</w:t>
      </w:r>
    </w:p>
    <w:p>
      <w:pPr>
        <w:pStyle w:val="Compact"/>
        <w:numPr>
          <w:ilvl w:val="0"/>
          <w:numId w:val="1007"/>
        </w:numPr>
      </w:pPr>
      <w:r>
        <w:t xml:space="preserve">Property taxes rose</w:t>
      </w:r>
      <w:r>
        <w:t xml:space="preserve"> </w:t>
      </w:r>
      <w:r>
        <w:rPr>
          <w:b/>
          <w:bCs/>
        </w:rPr>
        <w:t xml:space="preserve">6.0%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t xml:space="preserve">Utilities increased</w:t>
      </w:r>
      <w:r>
        <w:t xml:space="preserve"> </w:t>
      </w:r>
      <w:r>
        <w:rPr>
          <w:b/>
          <w:bCs/>
        </w:rPr>
        <w:t xml:space="preserve">12.5%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t xml:space="preserve">Repairs and maintenance rose</w:t>
      </w:r>
      <w:r>
        <w:t xml:space="preserve"> </w:t>
      </w:r>
      <w:r>
        <w:rPr>
          <w:b/>
          <w:bCs/>
        </w:rPr>
        <w:t xml:space="preserve">3.2%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t xml:space="preserve">Total same-store residential expenses increased</w:t>
      </w:r>
      <w:r>
        <w:t xml:space="preserve"> </w:t>
      </w:r>
      <w:r>
        <w:rPr>
          <w:b/>
          <w:bCs/>
        </w:rPr>
        <w:t xml:space="preserve">4.7%</w:t>
      </w:r>
      <w:r>
        <w:t xml:space="preserve">.</w:t>
      </w:r>
    </w:p>
    <w:p>
      <w:pPr>
        <w:pStyle w:val="FirstParagraph"/>
      </w:pPr>
      <w:r>
        <w:t xml:space="preserve">Moreover, about 80% of Q1’s favorable NOI variance versus AVB’s plan came from expenses that were lower than expected</w:t>
      </w:r>
      <w:r>
        <w:t xml:space="preserve"> </w:t>
      </w:r>
      <w:r>
        <w:rPr>
          <w:b/>
          <w:bCs/>
        </w:rPr>
        <w:t xml:space="preserve">because of timing</w:t>
      </w:r>
      <w:r>
        <w:t xml:space="preserve">. Management said those costs were still expected to be incurred later in 2026. That is one reason Q2 core FFO guidance stepped down from the Q1 result.</w:t>
      </w:r>
    </w:p>
    <w:p>
      <w:pPr>
        <w:pStyle w:val="BodyText"/>
      </w:pPr>
      <w:r>
        <w:t xml:space="preserve">Investors should distinguish between:</w:t>
      </w:r>
    </w:p>
    <w:p>
      <w:pPr>
        <w:pStyle w:val="Compact"/>
        <w:numPr>
          <w:ilvl w:val="0"/>
          <w:numId w:val="1008"/>
        </w:numPr>
      </w:pPr>
      <w:r>
        <w:t xml:space="preserve">A genuine reduction in full-year expense expectations; and</w:t>
      </w:r>
    </w:p>
    <w:p>
      <w:pPr>
        <w:pStyle w:val="Compact"/>
        <w:numPr>
          <w:ilvl w:val="0"/>
          <w:numId w:val="1008"/>
        </w:numPr>
      </w:pPr>
      <w:r>
        <w:t xml:space="preserve">Costs merely shifting between quarters.</w:t>
      </w:r>
    </w:p>
    <w:p>
      <w:pPr>
        <w:pStyle w:val="FirstParagraph"/>
      </w:pPr>
      <w:r>
        <w:t xml:space="preserve">The initial full-year outlook called for same-store revenue growth of</w:t>
      </w:r>
      <w:r>
        <w:t xml:space="preserve"> </w:t>
      </w:r>
      <w:r>
        <w:rPr>
          <w:b/>
          <w:bCs/>
        </w:rPr>
        <w:t xml:space="preserve">0.4%–2.4%</w:t>
      </w:r>
      <w:r>
        <w:t xml:space="preserve">, expense growth of</w:t>
      </w:r>
      <w:r>
        <w:t xml:space="preserve"> </w:t>
      </w:r>
      <w:r>
        <w:rPr>
          <w:b/>
          <w:bCs/>
        </w:rPr>
        <w:t xml:space="preserve">2.7%–4.9%</w:t>
      </w:r>
      <w:r>
        <w:t xml:space="preserve">, and NOI growth of negative 0.7% to positive 1.3%. The breadth of those ranges leaves room for a midyear update, particularly after the peak leasing season. (</w:t>
      </w:r>
      <w:hyperlink r:id="rId18">
        <w:r>
          <w:rPr>
            <w:rStyle w:val="Hyperlink"/>
          </w:rPr>
          <w:t xml:space="preserve">investors.avalonbay.com</w:t>
        </w:r>
      </w:hyperlink>
      <w:r>
        <w:t xml:space="preserve">)</w:t>
      </w:r>
    </w:p>
    <w:bookmarkEnd w:id="19"/>
    <w:bookmarkStart w:id="20" w:name="X5ee4449132262a652afa372de4304cf1fcfc0b6"/>
    <w:p>
      <w:pPr>
        <w:pStyle w:val="Heading2"/>
      </w:pPr>
      <w:r>
        <w:t xml:space="preserve">Development remains the principal standalone growth engine</w:t>
      </w:r>
    </w:p>
    <w:p>
      <w:pPr>
        <w:pStyle w:val="FirstParagraph"/>
      </w:pPr>
      <w:r>
        <w:t xml:space="preserve">At March 31, AVB had: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25 developments under construction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8,673 apartment homes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$3.39 billion</w:t>
      </w:r>
      <w:r>
        <w:t xml:space="preserve"> </w:t>
      </w:r>
      <w:r>
        <w:t xml:space="preserve">of projected total cost</w:t>
      </w:r>
    </w:p>
    <w:p>
      <w:pPr>
        <w:pStyle w:val="Compact"/>
        <w:numPr>
          <w:ilvl w:val="0"/>
          <w:numId w:val="1009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6.3%</w:t>
      </w:r>
      <w:r>
        <w:t xml:space="preserve"> </w:t>
      </w:r>
      <w:r>
        <w:t xml:space="preserve">weighted-average projected stabilized yield</w:t>
      </w:r>
    </w:p>
    <w:p>
      <w:pPr>
        <w:pStyle w:val="Compact"/>
        <w:numPr>
          <w:ilvl w:val="0"/>
          <w:numId w:val="1009"/>
        </w:numPr>
      </w:pPr>
      <w:r>
        <w:t xml:space="preserve">Approximately</w:t>
      </w:r>
      <w:r>
        <w:t xml:space="preserve"> </w:t>
      </w:r>
      <w:r>
        <w:rPr>
          <w:b/>
          <w:bCs/>
        </w:rPr>
        <w:t xml:space="preserve">$1.66 billion</w:t>
      </w:r>
      <w:r>
        <w:t xml:space="preserve"> </w:t>
      </w:r>
      <w:r>
        <w:t xml:space="preserve">still to invest</w:t>
      </w:r>
    </w:p>
    <w:p>
      <w:pPr>
        <w:pStyle w:val="FirstParagraph"/>
      </w:pPr>
      <w:r>
        <w:t xml:space="preserve">Management previously projected development NOI of approximately</w:t>
      </w:r>
      <w:r>
        <w:t xml:space="preserve"> </w:t>
      </w:r>
      <m:oMath>
        <m:r>
          <m:t>47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i</m:t>
        </m:r>
        <m:r>
          <m:t>n</m:t>
        </m:r>
        <m:r>
          <m:t>2026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r</m:t>
        </m:r>
        <m:r>
          <m:t>i</m:t>
        </m:r>
        <m:r>
          <m:t>s</m:t>
        </m:r>
        <m:r>
          <m:t>i</m:t>
        </m:r>
        <m:r>
          <m:t>n</m:t>
        </m:r>
        <m:r>
          <m:t>g</m:t>
        </m:r>
        <m:r>
          <m:t>t</m:t>
        </m:r>
        <m:r>
          <m:t>o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120 million in 2027</w:t>
      </w:r>
      <w:r>
        <w:t xml:space="preserve">. First-quarter lease-up velocity averaged 32 units per month versus a historical average of 23, and effective rents were slightly above initial underwriting.</w:t>
      </w:r>
    </w:p>
    <w:p>
      <w:pPr>
        <w:pStyle w:val="BodyText"/>
      </w:pPr>
      <w:r>
        <w:t xml:space="preserve">Key Q2 disclosures will include:</w:t>
      </w:r>
    </w:p>
    <w:p>
      <w:pPr>
        <w:pStyle w:val="Compact"/>
        <w:numPr>
          <w:ilvl w:val="0"/>
          <w:numId w:val="1010"/>
        </w:numPr>
      </w:pPr>
      <w:r>
        <w:t xml:space="preserve">Leasing velocity at recently delivered properties.</w:t>
      </w:r>
    </w:p>
    <w:p>
      <w:pPr>
        <w:pStyle w:val="Compact"/>
        <w:numPr>
          <w:ilvl w:val="0"/>
          <w:numId w:val="1010"/>
        </w:numPr>
      </w:pPr>
      <w:r>
        <w:t xml:space="preserve">Whether achieved rents remain above pro forma.</w:t>
      </w:r>
    </w:p>
    <w:p>
      <w:pPr>
        <w:pStyle w:val="Compact"/>
        <w:numPr>
          <w:ilvl w:val="0"/>
          <w:numId w:val="1010"/>
        </w:numPr>
      </w:pPr>
      <w:r>
        <w:t xml:space="preserve">Changes in projected costs, completion dates or yields.</w:t>
      </w:r>
    </w:p>
    <w:p>
      <w:pPr>
        <w:pStyle w:val="Compact"/>
        <w:numPr>
          <w:ilvl w:val="0"/>
          <w:numId w:val="1010"/>
        </w:numPr>
      </w:pPr>
      <w:r>
        <w:t xml:space="preserve">Progress toward the prior plan for roughly $800 million of 2026 starts.</w:t>
      </w:r>
    </w:p>
    <w:p>
      <w:pPr>
        <w:pStyle w:val="Compact"/>
        <w:numPr>
          <w:ilvl w:val="0"/>
          <w:numId w:val="1010"/>
        </w:numPr>
      </w:pPr>
      <w:r>
        <w:t xml:space="preserve">Any changes to development activity under the merger agreement.</w:t>
      </w:r>
    </w:p>
    <w:p>
      <w:pPr>
        <w:pStyle w:val="FirstParagraph"/>
      </w:pPr>
      <w:r>
        <w:t xml:space="preserve">Development can produce meaningful value if AVB continues delivering assets at mid-6% yields while private-market cap rates remain below those levels. Conversely, weaker rents or higher financing and construction costs would narrow the value-creation spread.</w:t>
      </w:r>
    </w:p>
    <w:bookmarkEnd w:id="20"/>
    <w:bookmarkStart w:id="23" w:name="X630e9d0f469215c9cfbc3dfbbfc7277025d64ee"/>
    <w:p>
      <w:pPr>
        <w:pStyle w:val="Heading2"/>
      </w:pPr>
      <w:r>
        <w:t xml:space="preserve">The merger will dominate the investor presentation</w:t>
      </w:r>
    </w:p>
    <w:p>
      <w:pPr>
        <w:pStyle w:val="FirstParagraph"/>
      </w:pPr>
      <w:r>
        <w:t xml:space="preserve">AVB and EQR agreed to an all-stock merger under which each AVB share converts into</w:t>
      </w:r>
      <w:r>
        <w:t xml:space="preserve"> </w:t>
      </w:r>
      <w:r>
        <w:rPr>
          <w:b/>
          <w:bCs/>
        </w:rPr>
        <w:t xml:space="preserve">2.793 EQR shares</w:t>
      </w:r>
      <w:r>
        <w:t xml:space="preserve">. Former AVB holders are expected to own approximately 51% of the combined company. The transaction is expected to close in the second half of 2026, subject to shareholder approval and customary conditions. (</w:t>
      </w:r>
      <w:hyperlink r:id="rId21">
        <w:r>
          <w:rPr>
            <w:rStyle w:val="Hyperlink"/>
          </w:rPr>
          <w:t xml:space="preserve">investors.avalonbay.com</w:t>
        </w:r>
      </w:hyperlink>
      <w:r>
        <w:t xml:space="preserve">)</w:t>
      </w:r>
    </w:p>
    <w:p>
      <w:pPr>
        <w:pStyle w:val="BodyText"/>
      </w:pPr>
      <w:r>
        <w:t xml:space="preserve">The companies are targeting: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$175 million of gross operating synergies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$125 million of annual net operating synergies</w:t>
      </w:r>
      <w:r>
        <w:t xml:space="preserve"> </w:t>
      </w:r>
      <w:r>
        <w:t xml:space="preserve">after property-tax reassessments</w:t>
      </w:r>
    </w:p>
    <w:p>
      <w:pPr>
        <w:pStyle w:val="Compact"/>
        <w:numPr>
          <w:ilvl w:val="0"/>
          <w:numId w:val="1011"/>
        </w:numPr>
      </w:pPr>
      <w:r>
        <w:t xml:space="preserve">Core FFO accretion for both shareholder groups</w:t>
      </w:r>
    </w:p>
    <w:p>
      <w:pPr>
        <w:pStyle w:val="Compact"/>
        <w:numPr>
          <w:ilvl w:val="0"/>
          <w:numId w:val="1011"/>
        </w:numPr>
      </w:pPr>
      <w:r>
        <w:t xml:space="preserve">More than 180,000 apartments in the combined portfolio</w:t>
      </w:r>
    </w:p>
    <w:p>
      <w:pPr>
        <w:pStyle w:val="Compact"/>
        <w:numPr>
          <w:ilvl w:val="0"/>
          <w:numId w:val="1011"/>
        </w:numPr>
      </w:pPr>
      <w:r>
        <w:t xml:space="preserve">Approximately $4.4 billion of development under construction at announcement (</w:t>
      </w:r>
      <w:hyperlink r:id="rId22">
        <w:r>
          <w:rPr>
            <w:rStyle w:val="Hyperlink"/>
          </w:rPr>
          <w:t xml:space="preserve">investors.avalonbay.com</w:t>
        </w:r>
      </w:hyperlink>
      <w:r>
        <w:t xml:space="preserve">)</w:t>
      </w:r>
    </w:p>
    <w:p>
      <w:pPr>
        <w:pStyle w:val="FirstParagraph"/>
      </w:pPr>
      <w:r>
        <w:t xml:space="preserve">Both shareholder meetings are scheduled for</w:t>
      </w:r>
      <w:r>
        <w:t xml:space="preserve"> </w:t>
      </w:r>
      <w:r>
        <w:rPr>
          <w:b/>
          <w:bCs/>
        </w:rPr>
        <w:t xml:space="preserve">August 12, 2026</w:t>
      </w:r>
      <w:r>
        <w:t xml:space="preserve">. Thus, this earnings release is likely management’s last major financial update before the vote.</w:t>
      </w:r>
    </w:p>
    <w:p>
      <w:pPr>
        <w:pStyle w:val="BodyText"/>
      </w:pPr>
      <w:r>
        <w:t xml:space="preserve">Investors should look for:</w:t>
      </w:r>
    </w:p>
    <w:p>
      <w:pPr>
        <w:pStyle w:val="Compact"/>
        <w:numPr>
          <w:ilvl w:val="0"/>
          <w:numId w:val="1012"/>
        </w:numPr>
      </w:pPr>
      <w:r>
        <w:t xml:space="preserve">Confirmation that the August 12 votes remain on schedule.</w:t>
      </w:r>
    </w:p>
    <w:p>
      <w:pPr>
        <w:pStyle w:val="Compact"/>
        <w:numPr>
          <w:ilvl w:val="0"/>
          <w:numId w:val="1012"/>
        </w:numPr>
      </w:pPr>
      <w:r>
        <w:t xml:space="preserve">Any update on regulatory or other closing conditions.</w:t>
      </w:r>
    </w:p>
    <w:p>
      <w:pPr>
        <w:pStyle w:val="Compact"/>
        <w:numPr>
          <w:ilvl w:val="0"/>
          <w:numId w:val="1012"/>
        </w:numPr>
      </w:pPr>
      <w:r>
        <w:t xml:space="preserve">Integration-planning progress.</w:t>
      </w:r>
    </w:p>
    <w:p>
      <w:pPr>
        <w:pStyle w:val="Compact"/>
        <w:numPr>
          <w:ilvl w:val="0"/>
          <w:numId w:val="1012"/>
        </w:numPr>
      </w:pPr>
      <w:r>
        <w:t xml:space="preserve">Transaction and integration costs.</w:t>
      </w:r>
    </w:p>
    <w:p>
      <w:pPr>
        <w:pStyle w:val="Compact"/>
        <w:numPr>
          <w:ilvl w:val="0"/>
          <w:numId w:val="1012"/>
        </w:numPr>
      </w:pPr>
      <w:r>
        <w:t xml:space="preserve">Greater detail on the timing and composition of the $125 million net synergy target.</w:t>
      </w:r>
    </w:p>
    <w:p>
      <w:pPr>
        <w:pStyle w:val="Compact"/>
        <w:numPr>
          <w:ilvl w:val="0"/>
          <w:numId w:val="1012"/>
        </w:numPr>
      </w:pPr>
      <w:r>
        <w:t xml:space="preserve">Whether AVB’s current operating results alter the expected accretion math.</w:t>
      </w:r>
    </w:p>
    <w:p>
      <w:pPr>
        <w:pStyle w:val="Compact"/>
        <w:numPr>
          <w:ilvl w:val="0"/>
          <w:numId w:val="1012"/>
        </w:numPr>
      </w:pPr>
      <w:r>
        <w:t xml:space="preserve">Changes to development starts, dispositions or staffing during the pre-closing period.</w:t>
      </w:r>
    </w:p>
    <w:bookmarkEnd w:id="23"/>
    <w:bookmarkStart w:id="24" w:name="X507fca8a7d1aea80f36d51abb65f2c4648a121b"/>
    <w:p>
      <w:pPr>
        <w:pStyle w:val="Heading2"/>
      </w:pPr>
      <w:r>
        <w:t xml:space="preserve">Capital allocation is now a secondary issue</w:t>
      </w:r>
    </w:p>
    <w:p>
      <w:pPr>
        <w:pStyle w:val="FirstParagraph"/>
      </w:pPr>
      <w:r>
        <w:t xml:space="preserve">Before announcing the merger, AVB was selling older properties and repurchasing stock at an implied low-6% cap rate. It repurchased approximately $198 million of shares in Q1 at an average price of $175.59 and had more than $900 million remaining under its authorization.</w:t>
      </w:r>
    </w:p>
    <w:p>
      <w:pPr>
        <w:pStyle w:val="BodyText"/>
      </w:pPr>
      <w:r>
        <w:t xml:space="preserve">That strategy is now less important. The fixed exchange ratio means AVB’s share price should primarily follow EQR, while merger covenants restrict certain discretionary actions. Investors should nevertheless monitor:</w:t>
      </w:r>
    </w:p>
    <w:p>
      <w:pPr>
        <w:pStyle w:val="Compact"/>
        <w:numPr>
          <w:ilvl w:val="0"/>
          <w:numId w:val="1013"/>
        </w:numPr>
      </w:pPr>
      <w:r>
        <w:t xml:space="preserve">Any additional property sales.</w:t>
      </w:r>
    </w:p>
    <w:p>
      <w:pPr>
        <w:pStyle w:val="Compact"/>
        <w:numPr>
          <w:ilvl w:val="0"/>
          <w:numId w:val="1013"/>
        </w:numPr>
      </w:pPr>
      <w:r>
        <w:t xml:space="preserve">Development funding requirements.</w:t>
      </w:r>
    </w:p>
    <w:p>
      <w:pPr>
        <w:pStyle w:val="Compact"/>
        <w:numPr>
          <w:ilvl w:val="0"/>
          <w:numId w:val="1013"/>
        </w:numPr>
      </w:pPr>
      <w:r>
        <w:t xml:space="preserve">Commercial-paper balances and interest expense.</w:t>
      </w:r>
    </w:p>
    <w:p>
      <w:pPr>
        <w:pStyle w:val="Compact"/>
        <w:numPr>
          <w:ilvl w:val="0"/>
          <w:numId w:val="1013"/>
        </w:numPr>
      </w:pPr>
      <w:r>
        <w:t xml:space="preserve">Net debt to core EBITDAre, which was</w:t>
      </w:r>
      <w:r>
        <w:t xml:space="preserve"> </w:t>
      </w:r>
      <w:r>
        <w:rPr>
          <w:b/>
          <w:bCs/>
        </w:rPr>
        <w:t xml:space="preserve">4.8 times</w:t>
      </w:r>
      <w:r>
        <w:t xml:space="preserve"> </w:t>
      </w:r>
      <w:r>
        <w:t xml:space="preserve">in Q1.</w:t>
      </w:r>
    </w:p>
    <w:p>
      <w:pPr>
        <w:pStyle w:val="Compact"/>
        <w:numPr>
          <w:ilvl w:val="0"/>
          <w:numId w:val="1013"/>
        </w:numPr>
      </w:pPr>
      <w:r>
        <w:t xml:space="preserve">Whether merger-related expenses pressure otherwise healthy core results.</w:t>
      </w:r>
    </w:p>
    <w:bookmarkEnd w:id="24"/>
    <w:bookmarkStart w:id="25" w:name="key-risks-going-into-the-print"/>
    <w:p>
      <w:pPr>
        <w:pStyle w:val="Heading2"/>
      </w:pPr>
      <w:r>
        <w:t xml:space="preserve">Key risks going into the print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Peak-season pricing disappoints.</w:t>
      </w:r>
      <w:r>
        <w:t xml:space="preserve"> </w:t>
      </w:r>
      <w:r>
        <w:t xml:space="preserve">Renewals may remain healthy while new leases and concessions reveal weaker underlying demand.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Expenses absorb revenue growth.</w:t>
      </w:r>
      <w:r>
        <w:t xml:space="preserve"> </w:t>
      </w:r>
      <w:r>
        <w:t xml:space="preserve">Property taxes, utilities and insurance could keep NOI growth close to zero.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Expansion-market supply remains elevated.</w:t>
      </w:r>
      <w:r>
        <w:t xml:space="preserve"> </w:t>
      </w:r>
      <w:r>
        <w:t xml:space="preserve">Denver, Austin and other Sun Belt markets may require prolonged concessions.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Development economics soften.</w:t>
      </w:r>
      <w:r>
        <w:t xml:space="preserve"> </w:t>
      </w:r>
      <w:r>
        <w:t xml:space="preserve">Lower rents, delayed stabilization or higher costs could reduce expected yields.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Merger execution risk emerges.</w:t>
      </w:r>
      <w:r>
        <w:t xml:space="preserve"> </w:t>
      </w:r>
      <w:r>
        <w:t xml:space="preserve">Any change in timing, shareholder support or expected synergies would matter more than a few cents of quarterly FFO.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No earnings call.</w:t>
      </w:r>
      <w:r>
        <w:t xml:space="preserve"> </w:t>
      </w:r>
      <w:r>
        <w:t xml:space="preserve">Without live Q&amp;A, investors will have less opportunity to test management’s assumptions or obtain regional detail.</w:t>
      </w:r>
    </w:p>
    <w:bookmarkEnd w:id="25"/>
    <w:bookmarkStart w:id="26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AVB’s Q2 report is primarily a</w:t>
      </w:r>
      <w:r>
        <w:t xml:space="preserve"> </w:t>
      </w:r>
      <w:r>
        <w:rPr>
          <w:b/>
          <w:bCs/>
        </w:rPr>
        <w:t xml:space="preserve">quality-control checkpoint before the EQR merger vote</w:t>
      </w:r>
      <w:r>
        <w:t xml:space="preserve">. The market is already pricing AVB almost exactly at the value of 2.793 EQR shares, so a routine earnings beat is unlikely to create a lasting standalone rerating.</w:t>
      </w:r>
    </w:p>
    <w:p>
      <w:pPr>
        <w:pStyle w:val="BodyText"/>
      </w:pPr>
      <w:r>
        <w:t xml:space="preserve">The most valuable signals will be:</w:t>
      </w:r>
    </w:p>
    <w:p>
      <w:pPr>
        <w:pStyle w:val="Compact"/>
        <w:numPr>
          <w:ilvl w:val="0"/>
          <w:numId w:val="1015"/>
        </w:numPr>
      </w:pPr>
      <w:r>
        <w:t xml:space="preserve">Whether blended rent growth accelerated during peak leasing season.</w:t>
      </w:r>
    </w:p>
    <w:p>
      <w:pPr>
        <w:pStyle w:val="Compact"/>
        <w:numPr>
          <w:ilvl w:val="0"/>
          <w:numId w:val="1015"/>
        </w:numPr>
      </w:pPr>
      <w:r>
        <w:t xml:space="preserve">Whether expense growth is beginning to moderate.</w:t>
      </w:r>
    </w:p>
    <w:p>
      <w:pPr>
        <w:pStyle w:val="Compact"/>
        <w:numPr>
          <w:ilvl w:val="0"/>
          <w:numId w:val="1015"/>
        </w:numPr>
      </w:pPr>
      <w:r>
        <w:t xml:space="preserve">Whether the development pipeline remains on budget and above underwriting.</w:t>
      </w:r>
    </w:p>
    <w:p>
      <w:pPr>
        <w:pStyle w:val="Compact"/>
        <w:numPr>
          <w:ilvl w:val="0"/>
          <w:numId w:val="1015"/>
        </w:numPr>
      </w:pPr>
      <w:r>
        <w:t xml:space="preserve">Whether full-year core FFO guidance moves higher from</w:t>
      </w:r>
      <w:r>
        <w:t xml:space="preserve"> </w:t>
      </w:r>
      <m:oMath>
        <m:r>
          <m:t>11.00</m:t>
        </m:r>
        <m:r>
          <m:rPr>
            <m:sty m:val="p"/>
          </m:rPr>
          <m:t>–</m:t>
        </m:r>
      </m:oMath>
      <w:r>
        <w:rPr>
          <w:b/>
          <w:bCs/>
        </w:rPr>
        <w:t xml:space="preserve">11.50</w:t>
      </w:r>
      <w:r>
        <w:t xml:space="preserve">.</w:t>
      </w:r>
    </w:p>
    <w:p>
      <w:pPr>
        <w:pStyle w:val="Compact"/>
        <w:numPr>
          <w:ilvl w:val="0"/>
          <w:numId w:val="1015"/>
        </w:numPr>
      </w:pPr>
      <w:r>
        <w:t xml:space="preserve">Whether management reaffirms the merger timetable and the</w:t>
      </w:r>
      <w:r>
        <w:t xml:space="preserve"> </w:t>
      </w:r>
      <w:r>
        <w:rPr>
          <w:b/>
          <w:bCs/>
        </w:rPr>
        <w:t xml:space="preserve">$125 million net synergy target</w:t>
      </w:r>
      <w:r>
        <w:t xml:space="preserve">.</w:t>
      </w:r>
    </w:p>
    <w:p>
      <w:pPr>
        <w:pStyle w:val="FirstParagraph"/>
      </w:pPr>
      <w:r>
        <w:t xml:space="preserve">A clean report would show core FFO near or above $2.80, stable 96%-plus occupancy, improving new-lease pricing and continued development execution. The real downside case is not a modest FFO miss—it is evidence that portfolio fundamentals are weakening just as AVB holders prepare to become owners of the much larger combined company.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https://investors.avalonbay.com/news-events/press-releases/detail/434/avalonbay-communities-inc-announces-2025-operating-results-1-7-dividend-increase-and-initial-2026-outlook?utm_source=openai" TargetMode="External" /><Relationship Type="http://schemas.openxmlformats.org/officeDocument/2006/relationships/hyperlink" Id="rId11" Target="https://investors.avalonbay.com/news-events/press-releases/detail/438/avalonbay-communities-inc-provides-q1-2026-results-q2-2026-guidance-reaffirms-full-year-core-ffo-and-ffo-outlook-updates-eps-outlook?utm_source=openai" TargetMode="External" /><Relationship Type="http://schemas.openxmlformats.org/officeDocument/2006/relationships/hyperlink" Id="rId9" Target="https://investors.avalonbay.com/news-events/press-releases/detail/442/avalonbay-communities-inc-announces-second-quarter-2026-earnings-release-date?utm_source=openai" TargetMode="External" /><Relationship Type="http://schemas.openxmlformats.org/officeDocument/2006/relationships/hyperlink" Id="rId21" Target="https://investors.avalonbay.com/sec-filings/all-sec-filings/content/0001104659-26-064781/tm2615292d1_8k.htm?utm_source=openai" TargetMode="External" /><Relationship Type="http://schemas.openxmlformats.org/officeDocument/2006/relationships/hyperlink" Id="rId22" Target="https://investors.avalonbay.com/sec-filings/all-sec-filings/content/0001104659-26-064781/tm2615292d1_ex99-2.htm?utm_source=opena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https://investors.avalonbay.com/news-events/press-releases/detail/434/avalonbay-communities-inc-announces-2025-operating-results-1-7-dividend-increase-and-initial-2026-outlook?utm_source=openai" TargetMode="External" /><Relationship Type="http://schemas.openxmlformats.org/officeDocument/2006/relationships/hyperlink" Id="rId11" Target="https://investors.avalonbay.com/news-events/press-releases/detail/438/avalonbay-communities-inc-provides-q1-2026-results-q2-2026-guidance-reaffirms-full-year-core-ffo-and-ffo-outlook-updates-eps-outlook?utm_source=openai" TargetMode="External" /><Relationship Type="http://schemas.openxmlformats.org/officeDocument/2006/relationships/hyperlink" Id="rId9" Target="https://investors.avalonbay.com/news-events/press-releases/detail/442/avalonbay-communities-inc-announces-second-quarter-2026-earnings-release-date?utm_source=openai" TargetMode="External" /><Relationship Type="http://schemas.openxmlformats.org/officeDocument/2006/relationships/hyperlink" Id="rId21" Target="https://investors.avalonbay.com/sec-filings/all-sec-filings/content/0001104659-26-064781/tm2615292d1_8k.htm?utm_source=openai" TargetMode="External" /><Relationship Type="http://schemas.openxmlformats.org/officeDocument/2006/relationships/hyperlink" Id="rId22" Target="https://investors.avalonbay.com/sec-filings/all-sec-filings/content/0001104659-26-064781/tm2615292d1_ex99-2.htm?utm_source=opena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2026-07-22T00:51:43Z</dcterms:created>
  <dcterms:modified xsi:type="dcterms:W3CDTF">2026-07-22T00:51:43Z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