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b-earnings-predictions--2026-07-22"/>
    <w:p>
      <w:pPr>
        <w:pStyle w:val="Heading1"/>
      </w:pPr>
      <w:r>
        <w:t xml:space="preserve">AVB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~$2.80 vs. cons $2.78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residential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~2.3%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residential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~0.9% vs. cons 0.5%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~$11.25 vs. cons $11.29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same-store residential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~1.4% vs. cons 1.6%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~$2.82 vs. cons $2.84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(STABILIZE)</w:t>
            </w:r>
          </w:p>
        </w:tc>
        <w:tc>
          <w:tcPr/>
          <w:p>
            <w:pPr>
              <w:pStyle w:val="Compact"/>
            </w:pPr>
            <w:r>
              <w:t xml:space="preserve">A modest operating beat is likely offset by unchanged FY Core FFO guidance (~</w:t>
            </w:r>
            <m:oMath>
              <m:r>
                <m:t>11.25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11.29 consensus) and slightly softer implied Q3 math (~</w:t>
            </w:r>
            <m:oMath>
              <m:r>
                <m:t>2.82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2.84). However, the fixed 2.793 EQR-share exchange ratio should limit standalone AVB estimate-revision impact and stabilize the residual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2026-07-22T00:51:32Z</dcterms:created>
  <dcterms:modified xsi:type="dcterms:W3CDTF">2026-07-22T00:51:32Z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