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98be75e1509df3fd4f692cd8a9f1a558e96a5e"/>
    <w:p>
      <w:pPr>
        <w:pStyle w:val="Heading1"/>
      </w:pPr>
      <w:r>
        <w:t xml:space="preserve">AvalonBay Communities (NYSE: AVB) — Q2 2026 Earnings Preview</w:t>
      </w:r>
    </w:p>
    <w:p>
      <w:pPr>
        <w:pStyle w:val="BlockText"/>
      </w:pPr>
      <w:r>
        <w:rPr>
          <w:b/>
          <w:bCs/>
        </w:rPr>
        <w:t xml:space="preserve">Timing note:</w:t>
      </w:r>
      <w:r>
        <w:t xml:space="preserve"> </w:t>
      </w:r>
      <w:r>
        <w:t xml:space="preserve">The event date provided is</w:t>
      </w:r>
      <w:r>
        <w:t xml:space="preserve"> </w:t>
      </w:r>
      <w:r>
        <w:rPr>
          <w:b/>
          <w:bCs/>
        </w:rPr>
        <w:t xml:space="preserve">July 22, 2026</w:t>
      </w:r>
      <w:r>
        <w:t xml:space="preserve">. As of Wednesday, July 22, this is an</w:t>
      </w:r>
      <w:r>
        <w:t xml:space="preserve"> </w:t>
      </w:r>
      <w:r>
        <w:rPr>
          <w:b/>
          <w:bCs/>
        </w:rPr>
        <w:t xml:space="preserve">earnings-day</w:t>
      </w:r>
      <w:r>
        <w:t xml:space="preserve"> </w:t>
      </w:r>
      <w:r>
        <w:t xml:space="preserve">preview rather than a “tomorrow” preview. Market-price references below use the July 21 closing price.</w:t>
      </w:r>
    </w:p>
    <w:bookmarkStart w:id="9" w:name="X574678e082a56a132a47645036611e45befdfb5"/>
    <w:p>
      <w:pPr>
        <w:pStyle w:val="Heading2"/>
      </w:pPr>
      <w:r>
        <w:t xml:space="preserve">Investment view: this report is about operating momentum</w:t>
      </w:r>
      <w:r>
        <w:t xml:space="preserve"> </w:t>
      </w:r>
      <w:r>
        <w:rPr>
          <w:i/>
          <w:iCs/>
        </w:rPr>
        <w:t xml:space="preserve">and</w:t>
      </w:r>
      <w:r>
        <w:t xml:space="preserve"> </w:t>
      </w:r>
      <w:r>
        <w:t xml:space="preserve">merger execution</w:t>
      </w:r>
    </w:p>
    <w:p>
      <w:pPr>
        <w:pStyle w:val="FirstParagraph"/>
      </w:pPr>
      <w:r>
        <w:t xml:space="preserve">AvalonBay enters Q2 with improving apartment fundamentals, a sizable embedded development-NOI ramp, and a balance sheet/capital-allocation story that was already supporting earnings before the announced merger with Equity Residential (EQR). But the May 21 all-stock merger agreement materially changes the setup: AVB’s stock increasingly trades as a claim on</w:t>
      </w:r>
      <w:r>
        <w:t xml:space="preserve"> </w:t>
      </w:r>
      <w:r>
        <w:rPr>
          <w:b/>
          <w:bCs/>
        </w:rPr>
        <w:t xml:space="preserve">2.793 EQR shares per AVB share</w:t>
      </w:r>
      <w:r>
        <w:t xml:space="preserve">, subject to completion of the proposed second-half 2026 transaction.</w:t>
      </w:r>
    </w:p>
    <w:p>
      <w:pPr>
        <w:pStyle w:val="BodyText"/>
      </w:pPr>
      <w:r>
        <w:t xml:space="preserve">The Q2 print should therefore matter less for a one-quarter Core FFO “beat/miss” than for four questions:</w:t>
      </w:r>
    </w:p>
    <w:p>
      <w:pPr>
        <w:pStyle w:val="Compact"/>
        <w:numPr>
          <w:ilvl w:val="0"/>
          <w:numId w:val="1001"/>
        </w:numPr>
      </w:pPr>
      <w:r>
        <w:rPr>
          <w:b/>
          <w:bCs/>
        </w:rPr>
        <w:t xml:space="preserve">Did spring leasing validate AVB’s full-year rent-growth assumptions?</w:t>
      </w:r>
    </w:p>
    <w:p>
      <w:pPr>
        <w:pStyle w:val="Compact"/>
        <w:numPr>
          <w:ilvl w:val="0"/>
          <w:numId w:val="1001"/>
        </w:numPr>
      </w:pPr>
      <w:r>
        <w:rPr>
          <w:b/>
          <w:bCs/>
        </w:rPr>
        <w:t xml:space="preserve">Are New York Metro and Northern California strength broadening, while softer regions stabilize?</w:t>
      </w:r>
    </w:p>
    <w:p>
      <w:pPr>
        <w:pStyle w:val="Compact"/>
        <w:numPr>
          <w:ilvl w:val="0"/>
          <w:numId w:val="1001"/>
        </w:numPr>
      </w:pPr>
      <w:r>
        <w:rPr>
          <w:b/>
          <w:bCs/>
        </w:rPr>
        <w:t xml:space="preserve">Is development lease-up converting into the anticipated step-up in NOI?</w:t>
      </w:r>
    </w:p>
    <w:p>
      <w:pPr>
        <w:pStyle w:val="Compact"/>
        <w:numPr>
          <w:ilvl w:val="0"/>
          <w:numId w:val="1001"/>
        </w:numPr>
      </w:pPr>
      <w:r>
        <w:rPr>
          <w:b/>
          <w:bCs/>
        </w:rPr>
        <w:t xml:space="preserve">Is the EQR combination proceeding on schedule, with a credible path to operational and capital-allocation benefits?</w:t>
      </w:r>
    </w:p>
    <w:p>
      <w:pPr>
        <w:pStyle w:val="FirstParagraph"/>
      </w:pPr>
      <w:r>
        <w:t xml:space="preserve">AVB closed July 21 at</w:t>
      </w:r>
      <w:r>
        <w:t xml:space="preserve"> </w:t>
      </w:r>
      <m:oMath>
        <m:r>
          <m:t>190.68</m:t>
        </m:r>
        <m:r>
          <m:rPr>
            <m:sty m:val="p"/>
          </m:rPr>
          <m:t>*</m:t>
        </m:r>
        <m:r>
          <m:rPr>
            <m:sty m:val="p"/>
          </m:rPr>
          <m:t>*</m:t>
        </m:r>
        <m:r>
          <m:rPr>
            <m:sty m:val="p"/>
          </m:rPr>
          <m:t>,</m:t>
        </m:r>
        <m:r>
          <m:t>w</m:t>
        </m:r>
        <m:r>
          <m:t>h</m:t>
        </m:r>
        <m:r>
          <m:t>i</m:t>
        </m:r>
        <m:r>
          <m:t>l</m:t>
        </m:r>
        <m:r>
          <m:t>e</m:t>
        </m:r>
        <m:r>
          <m:t>E</m:t>
        </m:r>
        <m:r>
          <m:t>Q</m:t>
        </m:r>
        <m:r>
          <m:t>R</m:t>
        </m:r>
        <m:r>
          <m:t>c</m:t>
        </m:r>
        <m:r>
          <m:t>l</m:t>
        </m:r>
        <m:r>
          <m:t>o</m:t>
        </m:r>
        <m:r>
          <m:t>s</m:t>
        </m:r>
        <m:r>
          <m:t>e</m:t>
        </m:r>
        <m:r>
          <m:t>d</m:t>
        </m:r>
        <m:r>
          <m:t>a</m:t>
        </m:r>
        <m:r>
          <m:t>t</m:t>
        </m:r>
        <m:r>
          <m:rPr>
            <m:sty m:val="p"/>
          </m:rPr>
          <m:t>*</m:t>
        </m:r>
        <m:r>
          <m:rPr>
            <m:sty m:val="p"/>
          </m:rPr>
          <m:t>*</m:t>
        </m:r>
      </m:oMath>
      <w:r>
        <w:rPr>
          <w:b/>
          <w:bCs/>
        </w:rPr>
        <w:t xml:space="preserve">68.31</w:t>
      </w:r>
      <w:r>
        <w:t xml:space="preserve">. The stated exchange ratio implies approximately</w:t>
      </w:r>
      <w:r>
        <w:t xml:space="preserve"> </w:t>
      </w:r>
      <w:r>
        <w:rPr>
          <w:b/>
          <w:bCs/>
        </w:rPr>
        <w:t xml:space="preserve">$190.83</w:t>
      </w:r>
      <w:r>
        <w:t xml:space="preserve"> </w:t>
      </w:r>
      <w:r>
        <w:t xml:space="preserve">of EQR value per AVB share, indicating that the merger-arbitrage spread was essentially negligible at that close. That means upside/downside around the report is likely to be driven primarily by perceived deal certainty and the outlook for the combined company, rather than standalone AVB valuation alone.</w:t>
      </w:r>
    </w:p>
    <w:p>
      <w:r>
        <w:pict>
          <v:rect style="width:0;height:1.5pt" o:hralign="center" o:hrstd="t" o:hr="t"/>
        </w:pict>
      </w:r>
    </w:p>
    <w:bookmarkEnd w:id="9"/>
    <w:bookmarkStart w:id="10" w:name="what-avb-has-guided-to"/>
    <w:p>
      <w:pPr>
        <w:pStyle w:val="Heading2"/>
      </w:pPr>
      <w:r>
        <w:t xml:space="preserve">What AVB has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Midpoint</w:t>
            </w:r>
          </w:p>
        </w:tc>
      </w:tr>
      <w:tr>
        <w:tc>
          <w:tcPr/>
          <w:p>
            <w:pPr>
              <w:pStyle w:val="Compact"/>
            </w:pPr>
            <w:r>
              <w:t xml:space="preserve">EPS</w:t>
            </w:r>
          </w:p>
        </w:tc>
        <w:tc>
          <w:tcPr/>
          <w:p>
            <w:pPr>
              <w:pStyle w:val="Compact"/>
              <w:jc w:val="right"/>
            </w:pPr>
            <m:oMath>
              <m:r>
                <m:t>1.23</m:t>
              </m:r>
              <m:r>
                <m:rPr>
                  <m:sty m:val="p"/>
                </m:rPr>
                <m:t>–</m:t>
              </m:r>
            </m:oMath>
            <w:r>
              <w:t xml:space="preserve">1.33</w:t>
            </w:r>
          </w:p>
        </w:tc>
        <w:tc>
          <w:tcPr/>
          <w:p>
            <w:pPr>
              <w:pStyle w:val="Compact"/>
              <w:jc w:val="right"/>
            </w:pPr>
            <w:r>
              <w:t xml:space="preserve">$1.28</w:t>
            </w:r>
          </w:p>
        </w:tc>
      </w:tr>
      <w:tr>
        <w:tc>
          <w:tcPr/>
          <w:p>
            <w:pPr>
              <w:pStyle w:val="Compact"/>
            </w:pPr>
            <w:r>
              <w:t xml:space="preserve">FFO/share</w:t>
            </w:r>
          </w:p>
        </w:tc>
        <w:tc>
          <w:tcPr/>
          <w:p>
            <w:pPr>
              <w:pStyle w:val="Compact"/>
              <w:jc w:val="right"/>
            </w:pPr>
            <m:oMath>
              <m:r>
                <m:t>2.68</m:t>
              </m:r>
              <m:r>
                <m:rPr>
                  <m:sty m:val="p"/>
                </m:rPr>
                <m:t>–</m:t>
              </m:r>
            </m:oMath>
            <w:r>
              <w:t xml:space="preserve">2.78</w:t>
            </w:r>
          </w:p>
        </w:tc>
        <w:tc>
          <w:tcPr/>
          <w:p>
            <w:pPr>
              <w:pStyle w:val="Compact"/>
              <w:jc w:val="right"/>
            </w:pPr>
            <w:r>
              <w:t xml:space="preserve">$2.73</w:t>
            </w:r>
          </w:p>
        </w:tc>
      </w:tr>
      <w:tr>
        <w:tc>
          <w:tcPr/>
          <w:p>
            <w:pPr>
              <w:pStyle w:val="Compact"/>
            </w:pPr>
            <w:r>
              <w:rPr>
                <w:b/>
                <w:bCs/>
              </w:rPr>
              <w:t xml:space="preserve">Core FFO/share</w:t>
            </w:r>
          </w:p>
        </w:tc>
        <w:tc>
          <w:tcPr/>
          <w:p>
            <w:pPr>
              <w:pStyle w:val="Compact"/>
              <w:jc w:val="right"/>
            </w:pPr>
            <m:oMath>
              <m:r>
                <m:t>2.72</m:t>
              </m:r>
              <m:r>
                <m:rPr>
                  <m:sty m:val="p"/>
                </m:rPr>
                <m:t>–</m:t>
              </m:r>
            </m:oMath>
            <w:r>
              <w:rPr>
                <w:b/>
                <w:bCs/>
              </w:rPr>
              <w:t xml:space="preserve">2.82</w:t>
            </w:r>
          </w:p>
        </w:tc>
        <w:tc>
          <w:tcPr/>
          <w:p>
            <w:pPr>
              <w:pStyle w:val="Compact"/>
              <w:jc w:val="right"/>
            </w:pPr>
            <w:r>
              <w:rPr>
                <w:b/>
                <w:bCs/>
              </w:rPr>
              <w:t xml:space="preserve">$2.77</w:t>
            </w:r>
          </w:p>
        </w:tc>
      </w:tr>
    </w:tbl>
    <w:p>
      <w:pPr>
        <w:pStyle w:val="BodyText"/>
      </w:pPr>
      <w:r>
        <w:t xml:space="preserve">For full-year 2026, AVB reaffirmed: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Full-year 2026 guidance</w:t>
            </w:r>
          </w:p>
        </w:tc>
      </w:tr>
      <w:tr>
        <w:tc>
          <w:tcPr/>
          <w:p>
            <w:pPr>
              <w:pStyle w:val="Compact"/>
            </w:pPr>
            <w:r>
              <w:t xml:space="preserve">FFO/share</w:t>
            </w:r>
          </w:p>
        </w:tc>
        <w:tc>
          <w:tcPr/>
          <w:p>
            <w:pPr>
              <w:pStyle w:val="Compact"/>
              <w:jc w:val="right"/>
            </w:pPr>
            <m:oMath>
              <m:r>
                <m:t>10.80</m:t>
              </m:r>
              <m:r>
                <m:rPr>
                  <m:sty m:val="p"/>
                </m:rPr>
                <m:t>–</m:t>
              </m:r>
            </m:oMath>
            <w:r>
              <w:t xml:space="preserve">11.30</w:t>
            </w:r>
          </w:p>
        </w:tc>
      </w:tr>
      <w:tr>
        <w:tc>
          <w:tcPr/>
          <w:p>
            <w:pPr>
              <w:pStyle w:val="Compact"/>
            </w:pPr>
            <w:r>
              <w:rPr>
                <w:b/>
                <w:bCs/>
              </w:rPr>
              <w:t xml:space="preserve">Core FFO/share</w:t>
            </w:r>
          </w:p>
        </w:tc>
        <w:tc>
          <w:tcPr/>
          <w:p>
            <w:pPr>
              <w:pStyle w:val="Compact"/>
              <w:jc w:val="right"/>
            </w:pPr>
            <m:oMath>
              <m:r>
                <m:t>11.00</m:t>
              </m:r>
              <m:r>
                <m:rPr>
                  <m:sty m:val="p"/>
                </m:rPr>
                <m:t>–</m:t>
              </m:r>
            </m:oMath>
            <w:r>
              <w:rPr>
                <w:b/>
                <w:bCs/>
              </w:rPr>
              <w:t xml:space="preserve">11.50</w:t>
            </w:r>
          </w:p>
        </w:tc>
      </w:tr>
      <w:tr>
        <w:tc>
          <w:tcPr/>
          <w:p>
            <w:pPr>
              <w:pStyle w:val="Compact"/>
            </w:pPr>
            <w:r>
              <w:t xml:space="preserve">Same-store residential revenue growth</w:t>
            </w:r>
          </w:p>
        </w:tc>
        <w:tc>
          <w:tcPr/>
          <w:p>
            <w:pPr>
              <w:pStyle w:val="Compact"/>
              <w:jc w:val="right"/>
            </w:pPr>
            <w:r>
              <w:t xml:space="preserve">0.4%–2.4%</w:t>
            </w:r>
          </w:p>
        </w:tc>
      </w:tr>
      <w:tr>
        <w:tc>
          <w:tcPr/>
          <w:p>
            <w:pPr>
              <w:pStyle w:val="Compact"/>
            </w:pPr>
            <w:r>
              <w:t xml:space="preserve">Same-store residential expense growth</w:t>
            </w:r>
          </w:p>
        </w:tc>
        <w:tc>
          <w:tcPr/>
          <w:p>
            <w:pPr>
              <w:pStyle w:val="Compact"/>
              <w:jc w:val="right"/>
            </w:pPr>
            <w:r>
              <w:t xml:space="preserve">2.7%–4.9%</w:t>
            </w:r>
          </w:p>
        </w:tc>
      </w:tr>
      <w:tr>
        <w:tc>
          <w:tcPr/>
          <w:p>
            <w:pPr>
              <w:pStyle w:val="Compact"/>
            </w:pPr>
            <w:r>
              <w:t xml:space="preserve">Same-store residential NOI growth</w:t>
            </w:r>
          </w:p>
        </w:tc>
        <w:tc>
          <w:tcPr/>
          <w:p>
            <w:pPr>
              <w:pStyle w:val="Compact"/>
              <w:jc w:val="right"/>
            </w:pPr>
            <w:r>
              <w:t xml:space="preserve">(0.7)%–1.3%</w:t>
            </w:r>
          </w:p>
        </w:tc>
      </w:tr>
    </w:tbl>
    <w:p>
      <w:pPr>
        <w:pStyle w:val="BodyText"/>
      </w:pPr>
      <w:r>
        <w:t xml:space="preserve">The key interpretive point is that management beat its original Q1 Core FFO midpoint by</w:t>
      </w:r>
      <w:r>
        <w:t xml:space="preserve"> </w:t>
      </w:r>
      <m:oMath>
        <m:r>
          <m:t>0.05</m:t>
        </m:r>
        <m:r>
          <m:rPr>
            <m:sty m:val="p"/>
          </m:rPr>
          <m:t>/</m:t>
        </m:r>
        <m:r>
          <m:t>s</m:t>
        </m:r>
        <m:r>
          <m:t>h</m:t>
        </m:r>
        <m:r>
          <m:t>a</m:t>
        </m:r>
        <m:r>
          <m:t>r</m:t>
        </m:r>
        <m:r>
          <m:t>e</m:t>
        </m:r>
        <m:r>
          <m:rPr>
            <m:sty m:val="p"/>
          </m:rPr>
          <m:t>*</m:t>
        </m:r>
        <m:r>
          <m:rPr>
            <m:sty m:val="p"/>
          </m:rPr>
          <m:t>*</m:t>
        </m:r>
        <m:r>
          <m:rPr>
            <m:sty m:val="p"/>
          </m:rPr>
          <m:t>—</m:t>
        </m:r>
        <m:r>
          <m:t>r</m:t>
        </m:r>
        <m:r>
          <m:t>e</m:t>
        </m:r>
        <m:r>
          <m:t>p</m:t>
        </m:r>
        <m:r>
          <m:t>o</m:t>
        </m:r>
        <m:r>
          <m:t>r</m:t>
        </m:r>
        <m:r>
          <m:t>t</m:t>
        </m:r>
        <m:r>
          <m:t>i</m:t>
        </m:r>
        <m:r>
          <m:t>n</m:t>
        </m:r>
        <m:r>
          <m:t>g</m:t>
        </m:r>
        <m:r>
          <m:rPr>
            <m:sty m:val="p"/>
          </m:rPr>
          <m:t>*</m:t>
        </m:r>
        <m:r>
          <m:rPr>
            <m:sty m:val="p"/>
          </m:rPr>
          <m:t>*</m:t>
        </m:r>
      </m:oMath>
      <w:r>
        <w:rPr>
          <w:b/>
          <w:bCs/>
        </w:rPr>
        <w:t xml:space="preserve">2.83</w:t>
      </w:r>
      <w:r>
        <w:t xml:space="preserve">—but did not raise the annual range. Management characterized a meaningful portion of the Q1 favorability as expense timing and wanted more evidence from the peak leasing season before changing full-year guidance. Q2 is the natural opportunity to either validate that caution or convert early momentum into a higher outlook.</w:t>
      </w:r>
    </w:p>
    <w:p>
      <w:r>
        <w:pict>
          <v:rect style="width:0;height:1.5pt" o:hralign="center" o:hrstd="t" o:hr="t"/>
        </w:pict>
      </w:r>
    </w:p>
    <w:bookmarkEnd w:id="10"/>
    <w:bookmarkStart w:id="15" w:name="why-the-quarter-could-be-constructive"/>
    <w:p>
      <w:pPr>
        <w:pStyle w:val="Heading2"/>
      </w:pPr>
      <w:r>
        <w:t xml:space="preserve">Why the quarter could be constructive</w:t>
      </w:r>
    </w:p>
    <w:bookmarkStart w:id="11" w:name="Xf5da45c0cd80e06d3ec93d6b0b21cb415370263"/>
    <w:p>
      <w:pPr>
        <w:pStyle w:val="Heading3"/>
      </w:pPr>
      <w:r>
        <w:t xml:space="preserve">1. Leasing momentum was already improving exiting Q1</w:t>
      </w:r>
    </w:p>
    <w:p>
      <w:pPr>
        <w:pStyle w:val="FirstParagraph"/>
      </w:pPr>
      <w:r>
        <w:t xml:space="preserve">AVB reported Q1 same-store residential revenue growth of</w:t>
      </w:r>
      <w:r>
        <w:t xml:space="preserve"> </w:t>
      </w:r>
      <w:r>
        <w:rPr>
          <w:b/>
          <w:bCs/>
        </w:rPr>
        <w:t xml:space="preserve">1.6% year over year</w:t>
      </w:r>
      <w:r>
        <w:t xml:space="preserve">, with economic occupancy up 10 basis points to</w:t>
      </w:r>
      <w:r>
        <w:t xml:space="preserve"> </w:t>
      </w:r>
      <w:r>
        <w:rPr>
          <w:b/>
          <w:bCs/>
        </w:rPr>
        <w:t xml:space="preserve">96.1%</w:t>
      </w:r>
      <w:r>
        <w:t xml:space="preserve">. More important than the reported quarter, management said April blended like-term effective rent change was</w:t>
      </w:r>
      <w:r>
        <w:t xml:space="preserve"> </w:t>
      </w:r>
      <w:r>
        <w:rPr>
          <w:b/>
          <w:bCs/>
        </w:rPr>
        <w:t xml:space="preserve">1.9%</w:t>
      </w:r>
      <w:r>
        <w:t xml:space="preserve">, versus</w:t>
      </w:r>
      <w:r>
        <w:t xml:space="preserve"> </w:t>
      </w:r>
      <w:r>
        <w:rPr>
          <w:b/>
          <w:bCs/>
        </w:rPr>
        <w:t xml:space="preserve">0.4%</w:t>
      </w:r>
      <w:r>
        <w:t xml:space="preserve"> </w:t>
      </w:r>
      <w:r>
        <w:t xml:space="preserve">in Q1.</w:t>
      </w:r>
    </w:p>
    <w:p>
      <w:pPr>
        <w:pStyle w:val="BodyText"/>
      </w:pPr>
      <w:r>
        <w:t xml:space="preserve">The setup entering Q2 was supported by:</w:t>
      </w:r>
    </w:p>
    <w:p>
      <w:pPr>
        <w:pStyle w:val="Compact"/>
        <w:numPr>
          <w:ilvl w:val="0"/>
          <w:numId w:val="1002"/>
        </w:numPr>
      </w:pPr>
      <w:r>
        <w:t xml:space="preserve">Average asking rents up in the</w:t>
      </w:r>
      <w:r>
        <w:t xml:space="preserve"> </w:t>
      </w:r>
      <w:r>
        <w:rPr>
          <w:b/>
          <w:bCs/>
        </w:rPr>
        <w:t xml:space="preserve">high-4% range</w:t>
      </w:r>
      <w:r>
        <w:t xml:space="preserve"> </w:t>
      </w:r>
      <w:r>
        <w:t xml:space="preserve">since January 1.</w:t>
      </w:r>
    </w:p>
    <w:p>
      <w:pPr>
        <w:pStyle w:val="Compact"/>
        <w:numPr>
          <w:ilvl w:val="0"/>
          <w:numId w:val="1002"/>
        </w:numPr>
      </w:pPr>
      <w:r>
        <w:t xml:space="preserve">Renewal offers for May and June sent at roughly</w:t>
      </w:r>
      <w:r>
        <w:t xml:space="preserve"> </w:t>
      </w:r>
      <w:r>
        <w:rPr>
          <w:b/>
          <w:bCs/>
        </w:rPr>
        <w:t xml:space="preserve">5.0%–5.5%</w:t>
      </w:r>
      <w:r>
        <w:t xml:space="preserve"> </w:t>
      </w:r>
      <w:r>
        <w:t xml:space="preserve">increases.</w:t>
      </w:r>
    </w:p>
    <w:p>
      <w:pPr>
        <w:pStyle w:val="Compact"/>
        <w:numPr>
          <w:ilvl w:val="0"/>
          <w:numId w:val="1002"/>
        </w:numPr>
      </w:pPr>
      <w:r>
        <w:t xml:space="preserve">Low turnover and fewer available apartments, which improve pricing power.</w:t>
      </w:r>
    </w:p>
    <w:p>
      <w:pPr>
        <w:pStyle w:val="Compact"/>
        <w:numPr>
          <w:ilvl w:val="0"/>
          <w:numId w:val="1002"/>
        </w:numPr>
      </w:pPr>
      <w:r>
        <w:t xml:space="preserve">Only</w:t>
      </w:r>
      <w:r>
        <w:t xml:space="preserve"> </w:t>
      </w:r>
      <w:r>
        <w:rPr>
          <w:b/>
          <w:bCs/>
        </w:rPr>
        <w:t xml:space="preserve">8%</w:t>
      </w:r>
      <w:r>
        <w:t xml:space="preserve"> </w:t>
      </w:r>
      <w:r>
        <w:t xml:space="preserve">of departing residents leaving to buy homes—a favorable sign for renter retention amid poor for-sale affordability.</w:t>
      </w:r>
    </w:p>
    <w:p>
      <w:pPr>
        <w:pStyle w:val="FirstParagraph"/>
      </w:pPr>
      <w:r>
        <w:t xml:space="preserve">Investors should look for evidence that the April acceleration held through May and June. Strong renewal execution and at least stable new-lease spreads would make a full-year guidance increase increasingly plausible.</w:t>
      </w:r>
    </w:p>
    <w:bookmarkEnd w:id="11"/>
    <w:bookmarkStart w:id="12" w:name="X84601293cc1e03521bd7602821134b107d95e76"/>
    <w:p>
      <w:pPr>
        <w:pStyle w:val="Heading3"/>
      </w:pPr>
      <w:r>
        <w:t xml:space="preserve">2. The strongest regions carry disproportionate importance</w:t>
      </w:r>
    </w:p>
    <w:p>
      <w:pPr>
        <w:pStyle w:val="FirstParagraph"/>
      </w:pPr>
      <w:r>
        <w:t xml:space="preserve">AVB’s strongest operating signals entering the quarter were in:</w:t>
      </w:r>
    </w:p>
    <w:p>
      <w:pPr>
        <w:pStyle w:val="Compact"/>
        <w:numPr>
          <w:ilvl w:val="0"/>
          <w:numId w:val="1003"/>
        </w:numPr>
      </w:pPr>
      <w:r>
        <w:rPr>
          <w:b/>
          <w:bCs/>
        </w:rPr>
        <w:t xml:space="preserve">Metro New York/New Jersey:</w:t>
      </w:r>
      <w:r>
        <w:t xml:space="preserve"> </w:t>
      </w:r>
      <w:r>
        <w:t xml:space="preserve">especially New York City and Northern New Jersey.</w:t>
      </w:r>
    </w:p>
    <w:p>
      <w:pPr>
        <w:pStyle w:val="Compact"/>
        <w:numPr>
          <w:ilvl w:val="0"/>
          <w:numId w:val="1003"/>
        </w:numPr>
      </w:pPr>
      <w:r>
        <w:rPr>
          <w:b/>
          <w:bCs/>
        </w:rPr>
        <w:t xml:space="preserve">Northern California:</w:t>
      </w:r>
      <w:r>
        <w:t xml:space="preserve"> </w:t>
      </w:r>
      <w:r>
        <w:t xml:space="preserve">led by San Francisco, followed by San Jose and the East Bay.</w:t>
      </w:r>
    </w:p>
    <w:p>
      <w:pPr>
        <w:pStyle w:val="Compact"/>
        <w:numPr>
          <w:ilvl w:val="0"/>
          <w:numId w:val="1003"/>
        </w:numPr>
      </w:pPr>
      <w:r>
        <w:rPr>
          <w:b/>
          <w:bCs/>
        </w:rPr>
        <w:t xml:space="preserve">Mid-Atlantic:</w:t>
      </w:r>
      <w:r>
        <w:t xml:space="preserve"> </w:t>
      </w:r>
      <w:r>
        <w:t xml:space="preserve">not yet a major growth engine, but management indicated conditions had become more stable as job-cut concerns faded and supply moderated.</w:t>
      </w:r>
    </w:p>
    <w:p>
      <w:pPr>
        <w:pStyle w:val="FirstParagraph"/>
      </w:pPr>
      <w:r>
        <w:t xml:space="preserve">The weak spots were more familiar:</w:t>
      </w:r>
    </w:p>
    <w:p>
      <w:pPr>
        <w:pStyle w:val="Compact"/>
        <w:numPr>
          <w:ilvl w:val="0"/>
          <w:numId w:val="1004"/>
        </w:numPr>
      </w:pPr>
      <w:r>
        <w:rPr>
          <w:b/>
          <w:bCs/>
        </w:rPr>
        <w:t xml:space="preserve">Boston</w:t>
      </w:r>
    </w:p>
    <w:p>
      <w:pPr>
        <w:pStyle w:val="Compact"/>
        <w:numPr>
          <w:ilvl w:val="0"/>
          <w:numId w:val="1004"/>
        </w:numPr>
      </w:pPr>
      <w:r>
        <w:rPr>
          <w:b/>
          <w:bCs/>
        </w:rPr>
        <w:t xml:space="preserve">Los Angeles</w:t>
      </w:r>
    </w:p>
    <w:p>
      <w:pPr>
        <w:pStyle w:val="Compact"/>
        <w:numPr>
          <w:ilvl w:val="0"/>
          <w:numId w:val="1004"/>
        </w:numPr>
      </w:pPr>
      <w:r>
        <w:rPr>
          <w:b/>
          <w:bCs/>
        </w:rPr>
        <w:t xml:space="preserve">Seattle</w:t>
      </w:r>
    </w:p>
    <w:p>
      <w:pPr>
        <w:pStyle w:val="Compact"/>
        <w:numPr>
          <w:ilvl w:val="0"/>
          <w:numId w:val="1004"/>
        </w:numPr>
      </w:pPr>
      <w:r>
        <w:rPr>
          <w:b/>
          <w:bCs/>
        </w:rPr>
        <w:t xml:space="preserve">Denver</w:t>
      </w:r>
      <w:r>
        <w:t xml:space="preserve">, particularly certain urban submarkets where concessions remained elevated.</w:t>
      </w:r>
    </w:p>
    <w:p>
      <w:pPr>
        <w:pStyle w:val="FirstParagraph"/>
      </w:pPr>
      <w:r>
        <w:t xml:space="preserve">The Q2 report needs to show that strong coastal markets are not merely offsetting deterioration elsewhere. A more durable bull case requires stabilization in the Mid-Atlantic and less drag from Boston, Los Angeles, Seattle, and Denver.</w:t>
      </w:r>
    </w:p>
    <w:bookmarkEnd w:id="12"/>
    <w:bookmarkStart w:id="13" w:name="X933571800b648e11c18323699c98639cbb3cb40"/>
    <w:p>
      <w:pPr>
        <w:pStyle w:val="Heading3"/>
      </w:pPr>
      <w:r>
        <w:t xml:space="preserve">3. Development NOI should become a more visible earnings contributor</w:t>
      </w:r>
    </w:p>
    <w:p>
      <w:pPr>
        <w:pStyle w:val="FirstParagraph"/>
      </w:pPr>
      <w:r>
        <w:t xml:space="preserve">Development is AVB’s most differentiated standalone growth driver. At March 31, AVB had:</w:t>
      </w:r>
    </w:p>
    <w:p>
      <w:pPr>
        <w:pStyle w:val="Compact"/>
        <w:numPr>
          <w:ilvl w:val="0"/>
          <w:numId w:val="1005"/>
        </w:numPr>
      </w:pPr>
      <w:r>
        <w:rPr>
          <w:b/>
          <w:bCs/>
        </w:rPr>
        <w:t xml:space="preserve">25 wholly owned communities under construction</w:t>
      </w:r>
    </w:p>
    <w:p>
      <w:pPr>
        <w:pStyle w:val="Compact"/>
        <w:numPr>
          <w:ilvl w:val="0"/>
          <w:numId w:val="1005"/>
        </w:numPr>
      </w:pPr>
      <w:r>
        <w:rPr>
          <w:b/>
          <w:bCs/>
        </w:rPr>
        <w:t xml:space="preserve">8,673 apartment homes</w:t>
      </w:r>
    </w:p>
    <w:p>
      <w:pPr>
        <w:pStyle w:val="Compact"/>
        <w:numPr>
          <w:ilvl w:val="0"/>
          <w:numId w:val="1005"/>
        </w:numPr>
      </w:pPr>
      <w:r>
        <w:rPr>
          <w:b/>
          <w:bCs/>
        </w:rPr>
        <w:t xml:space="preserve">$3.39 billion</w:t>
      </w:r>
      <w:r>
        <w:t xml:space="preserve"> </w:t>
      </w:r>
      <w:r>
        <w:t xml:space="preserve">of estimated total capital cost</w:t>
      </w:r>
    </w:p>
    <w:p>
      <w:pPr>
        <w:pStyle w:val="Compact"/>
        <w:numPr>
          <w:ilvl w:val="0"/>
          <w:numId w:val="1005"/>
        </w:numPr>
      </w:pPr>
      <w:r>
        <w:t xml:space="preserve">A weighted-average projected initial stabilized NOI yield of</w:t>
      </w:r>
      <w:r>
        <w:t xml:space="preserve"> </w:t>
      </w:r>
      <w:r>
        <w:rPr>
          <w:b/>
          <w:bCs/>
        </w:rPr>
        <w:t xml:space="preserve">6.3%</w:t>
      </w:r>
    </w:p>
    <w:p>
      <w:pPr>
        <w:pStyle w:val="FirstParagraph"/>
      </w:pPr>
      <w:r>
        <w:t xml:space="preserve">Management expects development NOI of approximately</w:t>
      </w:r>
      <w:r>
        <w:t xml:space="preserve"> </w:t>
      </w:r>
      <m:oMath>
        <m:r>
          <m:t>47</m:t>
        </m:r>
        <m:r>
          <m:t>m</m:t>
        </m:r>
        <m:r>
          <m:t>i</m:t>
        </m:r>
        <m:r>
          <m:t>l</m:t>
        </m:r>
        <m:r>
          <m:t>l</m:t>
        </m:r>
        <m:r>
          <m:t>i</m:t>
        </m:r>
        <m:r>
          <m:t>o</m:t>
        </m:r>
        <m:r>
          <m:t>n</m:t>
        </m:r>
        <m:r>
          <m:t>i</m:t>
        </m:r>
        <m:r>
          <m:t>n</m:t>
        </m:r>
        <m:r>
          <m:t>2026</m:t>
        </m:r>
        <m:r>
          <m:rPr>
            <m:sty m:val="p"/>
          </m:rPr>
          <m:t>*</m:t>
        </m:r>
        <m:r>
          <m:rPr>
            <m:sty m:val="p"/>
          </m:rPr>
          <m:t>*</m:t>
        </m:r>
        <m:r>
          <m:rPr>
            <m:sty m:val="p"/>
          </m:rPr>
          <m:t>,</m:t>
        </m:r>
        <m:r>
          <m:t>r</m:t>
        </m:r>
        <m:r>
          <m:t>i</m:t>
        </m:r>
        <m:r>
          <m:t>s</m:t>
        </m:r>
        <m:r>
          <m:t>i</m:t>
        </m:r>
        <m:r>
          <m:t>n</m:t>
        </m:r>
        <m:r>
          <m:t>g</m:t>
        </m:r>
        <m:r>
          <m:t>t</m:t>
        </m:r>
        <m:r>
          <m:t>o</m:t>
        </m:r>
        <m:r>
          <m:t>r</m:t>
        </m:r>
        <m:r>
          <m:t>o</m:t>
        </m:r>
        <m:r>
          <m:t>u</m:t>
        </m:r>
        <m:r>
          <m:t>g</m:t>
        </m:r>
        <m:r>
          <m:t>h</m:t>
        </m:r>
        <m:r>
          <m:t>l</m:t>
        </m:r>
        <m:r>
          <m:t>y</m:t>
        </m:r>
        <m:r>
          <m:rPr>
            <m:sty m:val="p"/>
          </m:rPr>
          <m:t>*</m:t>
        </m:r>
        <m:r>
          <m:rPr>
            <m:sty m:val="p"/>
          </m:rPr>
          <m:t>*</m:t>
        </m:r>
      </m:oMath>
      <w:r>
        <w:rPr>
          <w:b/>
          <w:bCs/>
        </w:rPr>
        <w:t xml:space="preserve">120 million in 2027</w:t>
      </w:r>
      <w:r>
        <w:t xml:space="preserve">. Lease-up execution was encouraging in Q1: AVB recorded leasing velocity of</w:t>
      </w:r>
      <w:r>
        <w:t xml:space="preserve"> </w:t>
      </w:r>
      <w:r>
        <w:rPr>
          <w:b/>
          <w:bCs/>
        </w:rPr>
        <w:t xml:space="preserve">32 homes per month</w:t>
      </w:r>
      <w:r>
        <w:t xml:space="preserve">, well above its historical pace of approximately 23, with effective rents slightly above original pro formas.</w:t>
      </w:r>
    </w:p>
    <w:p>
      <w:pPr>
        <w:pStyle w:val="BodyText"/>
      </w:pPr>
      <w:r>
        <w:t xml:space="preserve">Q2 should provide an important update on occupancy, leasing pace, concessions, construction cost buyouts, and any changes to development starts. Positive progress here matters because the company sees development yields in the mid-6% range or better, versus a roughly 4.9% weighted average initial cost of capital on capital raised over the preceding three years.</w:t>
      </w:r>
    </w:p>
    <w:bookmarkEnd w:id="13"/>
    <w:bookmarkStart w:id="14" w:name="Xfc32ddf942fc299e1603d180c368115cb998cc4"/>
    <w:p>
      <w:pPr>
        <w:pStyle w:val="Heading3"/>
      </w:pPr>
      <w:r>
        <w:t xml:space="preserve">4. Capital allocation was shareholder-friendly before the merger announcement</w:t>
      </w:r>
    </w:p>
    <w:p>
      <w:pPr>
        <w:pStyle w:val="FirstParagraph"/>
      </w:pPr>
      <w:r>
        <w:t xml:space="preserve">During Q1, AVB sold three communities for</w:t>
      </w:r>
      <w:r>
        <w:t xml:space="preserve"> </w:t>
      </w:r>
      <m:oMath>
        <m:r>
          <m:t>340.8</m:t>
        </m:r>
        <m:r>
          <m:t>m</m:t>
        </m:r>
        <m:r>
          <m:t>i</m:t>
        </m:r>
        <m:r>
          <m:t>l</m:t>
        </m:r>
        <m:r>
          <m:t>l</m:t>
        </m:r>
        <m:r>
          <m:t>i</m:t>
        </m:r>
        <m:r>
          <m:t>o</m:t>
        </m:r>
        <m:r>
          <m:t>n</m:t>
        </m:r>
        <m:r>
          <m:rPr>
            <m:sty m:val="p"/>
          </m:rPr>
          <m:t>*</m:t>
        </m:r>
        <m:r>
          <m:rPr>
            <m:sty m:val="p"/>
          </m:rPr>
          <m:t>*</m:t>
        </m:r>
        <m:r>
          <m:t>a</m:t>
        </m:r>
        <m:r>
          <m:t>n</m:t>
        </m:r>
        <m:r>
          <m:t>d</m:t>
        </m:r>
        <m:r>
          <m:t>r</m:t>
        </m:r>
        <m:r>
          <m:t>e</m:t>
        </m:r>
        <m:r>
          <m:t>p</m:t>
        </m:r>
        <m:r>
          <m:t>u</m:t>
        </m:r>
        <m:r>
          <m:t>r</m:t>
        </m:r>
        <m:r>
          <m:t>c</m:t>
        </m:r>
        <m:r>
          <m:t>h</m:t>
        </m:r>
        <m:r>
          <m:t>a</m:t>
        </m:r>
        <m:r>
          <m:t>s</m:t>
        </m:r>
        <m:r>
          <m:t>e</m:t>
        </m:r>
        <m:r>
          <m:t>d</m:t>
        </m:r>
        <m:r>
          <m:rPr>
            <m:sty m:val="p"/>
          </m:rPr>
          <m:t>*</m:t>
        </m:r>
        <m:r>
          <m:rPr>
            <m:sty m:val="p"/>
          </m:rPr>
          <m:t>*</m:t>
        </m:r>
      </m:oMath>
      <w:r>
        <w:rPr>
          <w:b/>
          <w:bCs/>
        </w:rPr>
        <w:t xml:space="preserve">198.5 million</w:t>
      </w:r>
      <w:r>
        <w:t xml:space="preserve"> </w:t>
      </w:r>
      <w:r>
        <w:t xml:space="preserve">of stock at an average price of</w:t>
      </w:r>
      <w:r>
        <w:t xml:space="preserve"> </w:t>
      </w:r>
      <m:oMath>
        <m:r>
          <m:t>175.59</m:t>
        </m:r>
        <m:r>
          <m:rPr>
            <m:sty m:val="p"/>
          </m:rPr>
          <m:t>*</m:t>
        </m:r>
        <m:r>
          <m:rPr>
            <m:sty m:val="p"/>
          </m:rPr>
          <m:t>*</m:t>
        </m:r>
        <m:r>
          <m:t>p</m:t>
        </m:r>
        <m:r>
          <m:t>e</m:t>
        </m:r>
        <m:r>
          <m:t>r</m:t>
        </m:r>
        <m:r>
          <m:t>s</m:t>
        </m:r>
        <m:r>
          <m:t>h</m:t>
        </m:r>
        <m:r>
          <m:t>a</m:t>
        </m:r>
        <m:r>
          <m:t>r</m:t>
        </m:r>
        <m:r>
          <m:t>e</m:t>
        </m:r>
        <m:r>
          <m:rPr>
            <m:sty m:val="p"/>
          </m:rPr>
          <m:t>.</m:t>
        </m:r>
        <m:r>
          <m:t>M</m:t>
        </m:r>
        <m:r>
          <m:t>a</m:t>
        </m:r>
        <m:r>
          <m:t>n</m:t>
        </m:r>
        <m:r>
          <m:t>a</m:t>
        </m:r>
        <m:r>
          <m:t>g</m:t>
        </m:r>
        <m:r>
          <m:t>e</m:t>
        </m:r>
        <m:r>
          <m:t>m</m:t>
        </m:r>
        <m:r>
          <m:t>e</m:t>
        </m:r>
        <m:r>
          <m:t>n</m:t>
        </m:r>
        <m:r>
          <m:t>t</m:t>
        </m:r>
        <m:r>
          <m:t>v</m:t>
        </m:r>
        <m:r>
          <m:t>i</m:t>
        </m:r>
        <m:r>
          <m:t>e</m:t>
        </m:r>
        <m:r>
          <m:t>w</m:t>
        </m:r>
        <m:r>
          <m:t>e</m:t>
        </m:r>
        <m:r>
          <m:t>d</m:t>
        </m:r>
        <m:r>
          <m:t>t</m:t>
        </m:r>
        <m:r>
          <m:t>h</m:t>
        </m:r>
        <m:r>
          <m:t>e</m:t>
        </m:r>
        <m:r>
          <m:t>r</m:t>
        </m:r>
        <m:r>
          <m:t>e</m:t>
        </m:r>
        <m:r>
          <m:t>p</m:t>
        </m:r>
        <m:r>
          <m:t>u</m:t>
        </m:r>
        <m:r>
          <m:t>r</m:t>
        </m:r>
        <m:r>
          <m:t>c</m:t>
        </m:r>
        <m:r>
          <m:t>h</m:t>
        </m:r>
        <m:r>
          <m:t>a</m:t>
        </m:r>
        <m:r>
          <m:t>s</m:t>
        </m:r>
        <m:r>
          <m:t>e</m:t>
        </m:r>
        <m:r>
          <m:t>s</m:t>
        </m:r>
        <m:r>
          <m:t>a</m:t>
        </m:r>
        <m:r>
          <m:t>s</m:t>
        </m:r>
        <m:r>
          <m:t>i</m:t>
        </m:r>
        <m:r>
          <m:t>m</m:t>
        </m:r>
        <m:r>
          <m:t>m</m:t>
        </m:r>
        <m:r>
          <m:t>e</m:t>
        </m:r>
        <m:r>
          <m:t>d</m:t>
        </m:r>
        <m:r>
          <m:t>i</m:t>
        </m:r>
        <m:r>
          <m:t>a</m:t>
        </m:r>
        <m:r>
          <m:t>t</m:t>
        </m:r>
        <m:r>
          <m:t>e</m:t>
        </m:r>
        <m:r>
          <m:t>l</m:t>
        </m:r>
        <m:r>
          <m:t>y</m:t>
        </m:r>
        <m:r>
          <m:t>a</m:t>
        </m:r>
        <m:r>
          <m:t>c</m:t>
        </m:r>
        <m:r>
          <m:t>c</m:t>
        </m:r>
        <m:r>
          <m:t>r</m:t>
        </m:r>
        <m:r>
          <m:t>e</m:t>
        </m:r>
        <m:r>
          <m:t>t</m:t>
        </m:r>
        <m:r>
          <m:t>i</m:t>
        </m:r>
        <m:r>
          <m:t>v</m:t>
        </m:r>
        <m:r>
          <m:t>e</m:t>
        </m:r>
        <m:r>
          <m:rPr>
            <m:sty m:val="p"/>
          </m:rPr>
          <m:t>,</m:t>
        </m:r>
        <m:r>
          <m:t>b</m:t>
        </m:r>
        <m:r>
          <m:t>a</m:t>
        </m:r>
        <m:r>
          <m:t>s</m:t>
        </m:r>
        <m:r>
          <m:t>e</m:t>
        </m:r>
        <m:r>
          <m:t>d</m:t>
        </m:r>
        <m:r>
          <m:t>o</m:t>
        </m:r>
        <m:r>
          <m:t>n</m:t>
        </m:r>
        <m:r>
          <m:t>a</m:t>
        </m:r>
        <m:r>
          <m:t>n</m:t>
        </m:r>
        <m:r>
          <m:t>i</m:t>
        </m:r>
        <m:r>
          <m:t>m</m:t>
        </m:r>
        <m:r>
          <m:t>p</m:t>
        </m:r>
        <m:r>
          <m:t>l</m:t>
        </m:r>
        <m:r>
          <m:t>i</m:t>
        </m:r>
        <m:r>
          <m:t>e</m:t>
        </m:r>
        <m:r>
          <m:t>d</m:t>
        </m:r>
        <m:r>
          <m:t>l</m:t>
        </m:r>
        <m:r>
          <m:t>o</m:t>
        </m:r>
        <m:r>
          <m:t>w</m:t>
        </m:r>
        <m:r>
          <m:rPr>
            <m:sty m:val="p"/>
          </m:rPr>
          <m:t>−</m:t>
        </m:r>
        <m:r>
          <m:t>6</m:t>
        </m:r>
      </m:oMath>
      <w:r>
        <w:rPr>
          <w:b/>
          <w:bCs/>
        </w:rPr>
        <w:t xml:space="preserve">914 million</w:t>
      </w:r>
      <w:r>
        <w:t xml:space="preserve"> </w:t>
      </w:r>
      <w:r>
        <w:t xml:space="preserve">of repurchase capacity as of the Q1 release.</w:t>
      </w:r>
    </w:p>
    <w:p>
      <w:pPr>
        <w:pStyle w:val="BodyText"/>
      </w:pPr>
      <w:r>
        <w:t xml:space="preserve">With the EQR merger pending, new buybacks or major asset reallocations may be less central than they were in April. Still, investors should ask whether planned dispositions, development commitments, and capital-market activity remain consistent with the merger agreement and the capital priorities of the eventual combined company.</w:t>
      </w:r>
    </w:p>
    <w:p>
      <w:r>
        <w:pict>
          <v:rect style="width:0;height:1.5pt" o:hralign="center" o:hrstd="t" o:hr="t"/>
        </w:pict>
      </w:r>
    </w:p>
    <w:bookmarkEnd w:id="14"/>
    <w:bookmarkEnd w:id="15"/>
    <w:bookmarkStart w:id="16" w:name="X8c2264095a18ca2486595cd0ffc249889bddcf4"/>
    <w:p>
      <w:pPr>
        <w:pStyle w:val="Heading2"/>
      </w:pPr>
      <w:r>
        <w:t xml:space="preserve">The EQR merger is now the principal strategic variable</w:t>
      </w:r>
    </w:p>
    <w:p>
      <w:pPr>
        <w:pStyle w:val="FirstParagraph"/>
      </w:pPr>
      <w:r>
        <w:t xml:space="preserve">On May 21, AVB and EQR announced an all-stock merger of equals expected to close in the</w:t>
      </w:r>
      <w:r>
        <w:t xml:space="preserve"> </w:t>
      </w:r>
      <w:r>
        <w:rPr>
          <w:b/>
          <w:bCs/>
        </w:rPr>
        <w:t xml:space="preserve">second half of 2026</w:t>
      </w:r>
      <w:r>
        <w:t xml:space="preserve">, subject to shareholder approvals and customary conditions. AVB holders are to receive</w:t>
      </w:r>
      <w:r>
        <w:t xml:space="preserve"> </w:t>
      </w:r>
      <w:r>
        <w:rPr>
          <w:b/>
          <w:bCs/>
        </w:rPr>
        <w:t xml:space="preserve">2.793 EQR shares</w:t>
      </w:r>
      <w:r>
        <w:t xml:space="preserve"> </w:t>
      </w:r>
      <w:r>
        <w:t xml:space="preserve">per AVB share and would own approximately</w:t>
      </w:r>
      <w:r>
        <w:t xml:space="preserve"> </w:t>
      </w:r>
      <w:r>
        <w:rPr>
          <w:b/>
          <w:bCs/>
        </w:rPr>
        <w:t xml:space="preserve">51.2%</w:t>
      </w:r>
      <w:r>
        <w:t xml:space="preserve"> </w:t>
      </w:r>
      <w:r>
        <w:t xml:space="preserve">of the combined company.</w:t>
      </w:r>
    </w:p>
    <w:p>
      <w:pPr>
        <w:pStyle w:val="BodyText"/>
      </w:pPr>
      <w:r>
        <w:t xml:space="preserve">The proposed company would have:</w:t>
      </w:r>
    </w:p>
    <w:p>
      <w:pPr>
        <w:pStyle w:val="Compact"/>
        <w:numPr>
          <w:ilvl w:val="0"/>
          <w:numId w:val="1006"/>
        </w:numPr>
      </w:pPr>
      <w:r>
        <w:t xml:space="preserve">Approximately</w:t>
      </w:r>
      <w:r>
        <w:t xml:space="preserve"> </w:t>
      </w:r>
      <w:r>
        <w:rPr>
          <w:b/>
          <w:bCs/>
        </w:rPr>
        <w:t xml:space="preserve">$52 billion</w:t>
      </w:r>
      <w:r>
        <w:t xml:space="preserve"> </w:t>
      </w:r>
      <w:r>
        <w:t xml:space="preserve">of pro forma equity market capitalization;</w:t>
      </w:r>
    </w:p>
    <w:p>
      <w:pPr>
        <w:pStyle w:val="Compact"/>
        <w:numPr>
          <w:ilvl w:val="0"/>
          <w:numId w:val="1006"/>
        </w:numPr>
      </w:pPr>
      <w:r>
        <w:t xml:space="preserve">Approximately</w:t>
      </w:r>
      <w:r>
        <w:t xml:space="preserve"> </w:t>
      </w:r>
      <w:r>
        <w:rPr>
          <w:b/>
          <w:bCs/>
        </w:rPr>
        <w:t xml:space="preserve">$69 billion</w:t>
      </w:r>
      <w:r>
        <w:t xml:space="preserve"> </w:t>
      </w:r>
      <w:r>
        <w:t xml:space="preserve">of enterprise value;</w:t>
      </w:r>
    </w:p>
    <w:p>
      <w:pPr>
        <w:pStyle w:val="Compact"/>
        <w:numPr>
          <w:ilvl w:val="0"/>
          <w:numId w:val="1006"/>
        </w:numPr>
      </w:pPr>
      <w:r>
        <w:t xml:space="preserve">More than</w:t>
      </w:r>
      <w:r>
        <w:t xml:space="preserve"> </w:t>
      </w:r>
      <w:r>
        <w:rPr>
          <w:b/>
          <w:bCs/>
        </w:rPr>
        <w:t xml:space="preserve">180,000 apartments</w:t>
      </w:r>
      <w:r>
        <w:t xml:space="preserve">;</w:t>
      </w:r>
    </w:p>
    <w:p>
      <w:pPr>
        <w:pStyle w:val="Compact"/>
        <w:numPr>
          <w:ilvl w:val="0"/>
          <w:numId w:val="1006"/>
        </w:numPr>
      </w:pPr>
      <w:r>
        <w:t xml:space="preserve">Ben Schall as CEO and president; and</w:t>
      </w:r>
    </w:p>
    <w:p>
      <w:pPr>
        <w:pStyle w:val="Compact"/>
        <w:numPr>
          <w:ilvl w:val="0"/>
          <w:numId w:val="1006"/>
        </w:numPr>
      </w:pPr>
      <w:r>
        <w:t xml:space="preserve">A significantly larger operating, development, technology, and capital-allocation platform.</w:t>
      </w:r>
    </w:p>
    <w:p>
      <w:pPr>
        <w:pStyle w:val="FirstParagraph"/>
      </w:pPr>
      <w:r>
        <w:t xml:space="preserve">For this earnings call, investors should focus on:</w:t>
      </w:r>
    </w:p>
    <w:p>
      <w:pPr>
        <w:pStyle w:val="Compact"/>
        <w:numPr>
          <w:ilvl w:val="0"/>
          <w:numId w:val="1007"/>
        </w:numPr>
      </w:pPr>
      <w:r>
        <w:t xml:space="preserve">Confirmation of the expected closing window and the status of regulatory, registration, and shareholder-approval processes;</w:t>
      </w:r>
    </w:p>
    <w:p>
      <w:pPr>
        <w:pStyle w:val="Compact"/>
        <w:numPr>
          <w:ilvl w:val="0"/>
          <w:numId w:val="1007"/>
        </w:numPr>
      </w:pPr>
      <w:r>
        <w:t xml:space="preserve">Any commentary on integration planning, retention, governance, and management-team selection;</w:t>
      </w:r>
    </w:p>
    <w:p>
      <w:pPr>
        <w:pStyle w:val="Compact"/>
        <w:numPr>
          <w:ilvl w:val="0"/>
          <w:numId w:val="1007"/>
        </w:numPr>
      </w:pPr>
      <w:r>
        <w:t xml:space="preserve">Whether the companies provide more detail on anticipated efficiency opportunities from centralization, technology, AI, procurement, and market-level density;</w:t>
      </w:r>
    </w:p>
    <w:p>
      <w:pPr>
        <w:pStyle w:val="Compact"/>
        <w:numPr>
          <w:ilvl w:val="0"/>
          <w:numId w:val="1007"/>
        </w:numPr>
      </w:pPr>
      <w:r>
        <w:t xml:space="preserve">Whether there are changes to standalone capital allocation or development activity during the period before closing.</w:t>
      </w:r>
    </w:p>
    <w:p>
      <w:pPr>
        <w:pStyle w:val="FirstParagraph"/>
      </w:pPr>
      <w:r>
        <w:t xml:space="preserve">The low implied trading spread suggests investors are presently assigning a high probability to completion. Accordingly, any unexpected language on timing, required approvals, integration complexity, or operating restrictions could matter more to the stock than a modest FFO variance.</w:t>
      </w:r>
    </w:p>
    <w:p>
      <w:r>
        <w:pict>
          <v:rect style="width:0;height:1.5pt" o:hralign="center" o:hrstd="t" o:hr="t"/>
        </w:pict>
      </w:r>
    </w:p>
    <w:bookmarkEnd w:id="16"/>
    <w:bookmarkStart w:id="21" w:name="key-metrics-and-disclosures-to-watch"/>
    <w:p>
      <w:pPr>
        <w:pStyle w:val="Heading2"/>
      </w:pPr>
      <w:r>
        <w:t xml:space="preserve">Key metrics and disclosures to watch</w:t>
      </w:r>
    </w:p>
    <w:bookmarkStart w:id="17" w:name="operating-kpis"/>
    <w:p>
      <w:pPr>
        <w:pStyle w:val="Heading3"/>
      </w:pPr>
      <w:r>
        <w:t xml:space="preserve">Operating KPIs</w:t>
      </w:r>
    </w:p>
    <w:p>
      <w:pPr>
        <w:pStyle w:val="Compact"/>
        <w:numPr>
          <w:ilvl w:val="0"/>
          <w:numId w:val="1008"/>
        </w:numPr>
      </w:pPr>
      <w:r>
        <w:t xml:space="preserve">Same-store revenue, expense, and NOI growth versus the annual ranges.</w:t>
      </w:r>
    </w:p>
    <w:p>
      <w:pPr>
        <w:pStyle w:val="Compact"/>
        <w:numPr>
          <w:ilvl w:val="0"/>
          <w:numId w:val="1008"/>
        </w:numPr>
      </w:pPr>
      <w:r>
        <w:t xml:space="preserve">Economic occupancy and turnover.</w:t>
      </w:r>
    </w:p>
    <w:p>
      <w:pPr>
        <w:pStyle w:val="Compact"/>
        <w:numPr>
          <w:ilvl w:val="0"/>
          <w:numId w:val="1008"/>
        </w:numPr>
      </w:pPr>
      <w:r>
        <w:t xml:space="preserve">Blended, renewal, and new-move-in like-term effective rent growth.</w:t>
      </w:r>
    </w:p>
    <w:p>
      <w:pPr>
        <w:pStyle w:val="Compact"/>
        <w:numPr>
          <w:ilvl w:val="0"/>
          <w:numId w:val="1008"/>
        </w:numPr>
      </w:pPr>
      <w:r>
        <w:t xml:space="preserve">Concession trends—especially in Denver, Los Angeles, Boston, and Seattle.</w:t>
      </w:r>
    </w:p>
    <w:p>
      <w:pPr>
        <w:pStyle w:val="Compact"/>
        <w:numPr>
          <w:ilvl w:val="0"/>
          <w:numId w:val="1008"/>
        </w:numPr>
      </w:pPr>
      <w:r>
        <w:t xml:space="preserve">Regional performance, with particular attention to New York Metro, Northern California, and the Mid-Atlantic.</w:t>
      </w:r>
    </w:p>
    <w:bookmarkEnd w:id="17"/>
    <w:bookmarkStart w:id="18" w:name="development-and-lease-up"/>
    <w:p>
      <w:pPr>
        <w:pStyle w:val="Heading3"/>
      </w:pPr>
      <w:r>
        <w:t xml:space="preserve">Development and lease-up</w:t>
      </w:r>
    </w:p>
    <w:p>
      <w:pPr>
        <w:pStyle w:val="Compact"/>
        <w:numPr>
          <w:ilvl w:val="0"/>
          <w:numId w:val="1009"/>
        </w:numPr>
      </w:pPr>
      <w:r>
        <w:t xml:space="preserve">Leasing velocity, effective rents, occupancy, and concessions at recently completed developments.</w:t>
      </w:r>
    </w:p>
    <w:p>
      <w:pPr>
        <w:pStyle w:val="Compact"/>
        <w:numPr>
          <w:ilvl w:val="0"/>
          <w:numId w:val="1009"/>
        </w:numPr>
      </w:pPr>
      <w:r>
        <w:t xml:space="preserve">Confirmation of the 2026 development-NOI outlook.</w:t>
      </w:r>
    </w:p>
    <w:p>
      <w:pPr>
        <w:pStyle w:val="Compact"/>
        <w:numPr>
          <w:ilvl w:val="0"/>
          <w:numId w:val="1009"/>
        </w:numPr>
      </w:pPr>
      <w:r>
        <w:t xml:space="preserve">New starts relative to the company’s previous plan for approximately</w:t>
      </w:r>
      <w:r>
        <w:t xml:space="preserve"> </w:t>
      </w:r>
      <w:r>
        <w:rPr>
          <w:b/>
          <w:bCs/>
        </w:rPr>
        <w:t xml:space="preserve">$800 million</w:t>
      </w:r>
      <w:r>
        <w:t xml:space="preserve"> </w:t>
      </w:r>
      <w:r>
        <w:t xml:space="preserve">of 2026 starts.</w:t>
      </w:r>
    </w:p>
    <w:p>
      <w:pPr>
        <w:pStyle w:val="Compact"/>
        <w:numPr>
          <w:ilvl w:val="0"/>
          <w:numId w:val="1009"/>
        </w:numPr>
      </w:pPr>
      <w:r>
        <w:t xml:space="preserve">Construction-cost inflation or favorable buyouts versus underwriting.</w:t>
      </w:r>
    </w:p>
    <w:bookmarkEnd w:id="18"/>
    <w:bookmarkStart w:id="19" w:name="earnings-quality-and-guidance"/>
    <w:p>
      <w:pPr>
        <w:pStyle w:val="Heading3"/>
      </w:pPr>
      <w:r>
        <w:t xml:space="preserve">Earnings quality and guidance</w:t>
      </w:r>
    </w:p>
    <w:p>
      <w:pPr>
        <w:pStyle w:val="Compact"/>
        <w:numPr>
          <w:ilvl w:val="0"/>
          <w:numId w:val="1010"/>
        </w:numPr>
      </w:pPr>
      <w:r>
        <w:t xml:space="preserve">Core FFO versus the</w:t>
      </w:r>
      <w:r>
        <w:t xml:space="preserve"> </w:t>
      </w:r>
      <w:r>
        <w:rPr>
          <w:b/>
          <w:bCs/>
        </w:rPr>
        <w:t xml:space="preserve">$2.77</w:t>
      </w:r>
      <w:r>
        <w:t xml:space="preserve"> </w:t>
      </w:r>
      <w:r>
        <w:t xml:space="preserve">Q2 midpoint.</w:t>
      </w:r>
    </w:p>
    <w:p>
      <w:pPr>
        <w:pStyle w:val="Compact"/>
        <w:numPr>
          <w:ilvl w:val="0"/>
          <w:numId w:val="1010"/>
        </w:numPr>
      </w:pPr>
      <w:r>
        <w:t xml:space="preserve">Whether Q1’s lower operating expenses were timing-related as management indicated, or a durable cost benefit.</w:t>
      </w:r>
    </w:p>
    <w:p>
      <w:pPr>
        <w:pStyle w:val="Compact"/>
        <w:numPr>
          <w:ilvl w:val="0"/>
          <w:numId w:val="1010"/>
        </w:numPr>
      </w:pPr>
      <w:r>
        <w:t xml:space="preserve">Any revision to the</w:t>
      </w:r>
      <w:r>
        <w:t xml:space="preserve"> </w:t>
      </w:r>
      <m:oMath>
        <m:r>
          <m:t>11.00</m:t>
        </m:r>
        <m:r>
          <m:rPr>
            <m:sty m:val="p"/>
          </m:rPr>
          <m:t>–</m:t>
        </m:r>
      </m:oMath>
      <w:r>
        <w:rPr>
          <w:b/>
          <w:bCs/>
        </w:rPr>
        <w:t xml:space="preserve">11.50</w:t>
      </w:r>
      <w:r>
        <w:t xml:space="preserve"> </w:t>
      </w:r>
      <w:r>
        <w:t xml:space="preserve">full-year Core FFO range.</w:t>
      </w:r>
    </w:p>
    <w:p>
      <w:pPr>
        <w:pStyle w:val="Compact"/>
        <w:numPr>
          <w:ilvl w:val="0"/>
          <w:numId w:val="1010"/>
        </w:numPr>
      </w:pPr>
      <w:r>
        <w:t xml:space="preserve">The bridge between same-store NOI, development NOI, disposition dilution, interest expense, and share-count effects.</w:t>
      </w:r>
    </w:p>
    <w:bookmarkEnd w:id="19"/>
    <w:bookmarkStart w:id="20" w:name="balance-sheet-and-capital-allocation"/>
    <w:p>
      <w:pPr>
        <w:pStyle w:val="Heading3"/>
      </w:pPr>
      <w:r>
        <w:t xml:space="preserve">Balance sheet and capital allocation</w:t>
      </w:r>
    </w:p>
    <w:p>
      <w:pPr>
        <w:pStyle w:val="Compact"/>
        <w:numPr>
          <w:ilvl w:val="0"/>
          <w:numId w:val="1011"/>
        </w:numPr>
      </w:pPr>
      <w:r>
        <w:t xml:space="preserve">Net debt to Core EBITDAre was</w:t>
      </w:r>
      <w:r>
        <w:t xml:space="preserve"> </w:t>
      </w:r>
      <w:r>
        <w:rPr>
          <w:b/>
          <w:bCs/>
        </w:rPr>
        <w:t xml:space="preserve">4.8x</w:t>
      </w:r>
      <w:r>
        <w:t xml:space="preserve"> </w:t>
      </w:r>
      <w:r>
        <w:t xml:space="preserve">at Q1-end, with</w:t>
      </w:r>
      <w:r>
        <w:t xml:space="preserve"> </w:t>
      </w:r>
      <w:r>
        <w:rPr>
          <w:b/>
          <w:bCs/>
        </w:rPr>
        <w:t xml:space="preserve">6.5x</w:t>
      </w:r>
      <w:r>
        <w:t xml:space="preserve"> </w:t>
      </w:r>
      <w:r>
        <w:t xml:space="preserve">interest coverage and 95% unencumbered NOI.</w:t>
      </w:r>
    </w:p>
    <w:p>
      <w:pPr>
        <w:pStyle w:val="Compact"/>
        <w:numPr>
          <w:ilvl w:val="0"/>
          <w:numId w:val="1011"/>
        </w:numPr>
      </w:pPr>
      <w:r>
        <w:t xml:space="preserve">Any debt issuance, commercial-paper movement, asset sales, or buybacks.</w:t>
      </w:r>
    </w:p>
    <w:p>
      <w:pPr>
        <w:pStyle w:val="Compact"/>
        <w:numPr>
          <w:ilvl w:val="0"/>
          <w:numId w:val="1011"/>
        </w:numPr>
      </w:pPr>
      <w:r>
        <w:t xml:space="preserve">The treatment of capital allocation while the EQR transaction is pending.</w:t>
      </w:r>
    </w:p>
    <w:p>
      <w:r>
        <w:pict>
          <v:rect style="width:0;height:1.5pt" o:hralign="center" o:hrstd="t" o:hr="t"/>
        </w:pict>
      </w:r>
    </w:p>
    <w:bookmarkEnd w:id="20"/>
    <w:bookmarkEnd w:id="21"/>
    <w:bookmarkStart w:id="22" w:name="bull-case-for-the-call"/>
    <w:p>
      <w:pPr>
        <w:pStyle w:val="Heading2"/>
      </w:pPr>
      <w:r>
        <w:t xml:space="preserve">Bull case for the call</w:t>
      </w:r>
    </w:p>
    <w:p>
      <w:pPr>
        <w:pStyle w:val="FirstParagraph"/>
      </w:pPr>
      <w:r>
        <w:t xml:space="preserve">A favorable result would combine:</w:t>
      </w:r>
    </w:p>
    <w:p>
      <w:pPr>
        <w:pStyle w:val="Compact"/>
        <w:numPr>
          <w:ilvl w:val="0"/>
          <w:numId w:val="1012"/>
        </w:numPr>
      </w:pPr>
      <w:r>
        <w:t xml:space="preserve">Core FFO at or above the high end of the Q2 range;</w:t>
      </w:r>
    </w:p>
    <w:p>
      <w:pPr>
        <w:pStyle w:val="Compact"/>
        <w:numPr>
          <w:ilvl w:val="0"/>
          <w:numId w:val="1012"/>
        </w:numPr>
      </w:pPr>
      <w:r>
        <w:t xml:space="preserve">Confirmation that spring leasing remained at or above April’s roughly 1.9% blended pace;</w:t>
      </w:r>
    </w:p>
    <w:p>
      <w:pPr>
        <w:pStyle w:val="Compact"/>
        <w:numPr>
          <w:ilvl w:val="0"/>
          <w:numId w:val="1012"/>
        </w:numPr>
      </w:pPr>
      <w:r>
        <w:t xml:space="preserve">Better-than-expected revenue or lower concessions in New York Metro, Northern California, and the Mid-Atlantic;</w:t>
      </w:r>
    </w:p>
    <w:p>
      <w:pPr>
        <w:pStyle w:val="Compact"/>
        <w:numPr>
          <w:ilvl w:val="0"/>
          <w:numId w:val="1012"/>
        </w:numPr>
      </w:pPr>
      <w:r>
        <w:t xml:space="preserve">Continued fast lease-up and firm rents in the development portfolio;</w:t>
      </w:r>
    </w:p>
    <w:p>
      <w:pPr>
        <w:pStyle w:val="Compact"/>
        <w:numPr>
          <w:ilvl w:val="0"/>
          <w:numId w:val="1012"/>
        </w:numPr>
      </w:pPr>
      <w:r>
        <w:t xml:space="preserve">A modest upward revision to 2026 Core FFO guidance, or unusually confident language that the company is trending above the midpoint;</w:t>
      </w:r>
    </w:p>
    <w:p>
      <w:pPr>
        <w:pStyle w:val="Compact"/>
        <w:numPr>
          <w:ilvl w:val="0"/>
          <w:numId w:val="1012"/>
        </w:numPr>
      </w:pPr>
      <w:r>
        <w:t xml:space="preserve">Clear confirmation that the EQR transaction remains on track for a second-half close.</w:t>
      </w:r>
    </w:p>
    <w:bookmarkEnd w:id="22"/>
    <w:bookmarkStart w:id="23" w:name="bear-case-for-the-call"/>
    <w:p>
      <w:pPr>
        <w:pStyle w:val="Heading2"/>
      </w:pPr>
      <w:r>
        <w:t xml:space="preserve">Bear case for the call</w:t>
      </w:r>
    </w:p>
    <w:p>
      <w:pPr>
        <w:pStyle w:val="FirstParagraph"/>
      </w:pPr>
      <w:r>
        <w:t xml:space="preserve">The risk case is less about a mechanical quarterly FFO miss and more about a weakening forward outlook:</w:t>
      </w:r>
    </w:p>
    <w:p>
      <w:pPr>
        <w:pStyle w:val="Compact"/>
        <w:numPr>
          <w:ilvl w:val="0"/>
          <w:numId w:val="1013"/>
        </w:numPr>
      </w:pPr>
      <w:r>
        <w:t xml:space="preserve">New-lease rent growth fails to keep up with renewal increases, signaling that pricing momentum is not sustainable;</w:t>
      </w:r>
    </w:p>
    <w:p>
      <w:pPr>
        <w:pStyle w:val="Compact"/>
        <w:numPr>
          <w:ilvl w:val="0"/>
          <w:numId w:val="1013"/>
        </w:numPr>
      </w:pPr>
      <w:r>
        <w:t xml:space="preserve">Concessions worsen in soft markets and expand beyond Denver;</w:t>
      </w:r>
    </w:p>
    <w:p>
      <w:pPr>
        <w:pStyle w:val="Compact"/>
        <w:numPr>
          <w:ilvl w:val="0"/>
          <w:numId w:val="1013"/>
        </w:numPr>
      </w:pPr>
      <w:r>
        <w:t xml:space="preserve">Expense pressure—especially property taxes, utilities, or insurance—returns after a favorable Q1;</w:t>
      </w:r>
    </w:p>
    <w:p>
      <w:pPr>
        <w:pStyle w:val="Compact"/>
        <w:numPr>
          <w:ilvl w:val="0"/>
          <w:numId w:val="1013"/>
        </w:numPr>
      </w:pPr>
      <w:r>
        <w:t xml:space="preserve">Development lease-ups require more concessions or produce lower rents than underwritten;</w:t>
      </w:r>
    </w:p>
    <w:p>
      <w:pPr>
        <w:pStyle w:val="Compact"/>
        <w:numPr>
          <w:ilvl w:val="0"/>
          <w:numId w:val="1013"/>
        </w:numPr>
      </w:pPr>
      <w:r>
        <w:t xml:space="preserve">Full-year guidance remains unchanged with a more cautious tone on peak leasing;</w:t>
      </w:r>
    </w:p>
    <w:p>
      <w:pPr>
        <w:pStyle w:val="Compact"/>
        <w:numPr>
          <w:ilvl w:val="0"/>
          <w:numId w:val="1013"/>
        </w:numPr>
      </w:pPr>
      <w:r>
        <w:t xml:space="preserve">Merger timing, approvals, integration execution, or transaction costs become less certain.</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AVB’s Q2 report is positioned to validate a constructive operational narrative: low turnover, solid occupancy, accelerating renewal pricing, strong New York and Northern California demand, and an emerging development-NOI ramp. The critical test is whether those favorable signals translate into a higher or at least more confidently underwritten full-year outlook after management deferred a guidance increase following the Q1 beat.</w:t>
      </w:r>
    </w:p>
    <w:p>
      <w:pPr>
        <w:pStyle w:val="BodyText"/>
      </w:pPr>
      <w:r>
        <w:t xml:space="preserve">However, AVB is no longer a purely standalone earnings story. With AVB trading almost exactly in line with the value of the agreed</w:t>
      </w:r>
      <w:r>
        <w:t xml:space="preserve"> </w:t>
      </w:r>
      <w:r>
        <w:rPr>
          <w:b/>
          <w:bCs/>
        </w:rPr>
        <w:t xml:space="preserve">2.793x EQR exchange ratio</w:t>
      </w:r>
      <w:r>
        <w:t xml:space="preserve">, the report’s largest stock-specific catalyst is likely to be confirmation that the EQR transaction is progressing cleanly and that the combined company can preserve AVB’s development advantages while capturing scale-driven operating efficiencies.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2026-07-22T00:51:32Z</dcterms:created>
  <dcterms:modified xsi:type="dcterms:W3CDTF">2026-07-22T00:51:32Z</dcterms:modified>
</cp:coreProperties>
</file>

<file path=docProps/custom.xml><?xml version="1.0" encoding="utf-8"?>
<Properties xmlns="http://schemas.openxmlformats.org/officeDocument/2006/custom-properties" xmlns:vt="http://schemas.openxmlformats.org/officeDocument/2006/docPropsVTypes"/>
</file>