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b-earnings-predictions--2026-07-22"/>
    <w:p>
      <w:pPr>
        <w:pStyle w:val="Heading1"/>
      </w:pPr>
      <w:r>
        <w:t xml:space="preserve">AVB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 per Share - Diluted ($)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~$2.84 vs. cons $2.810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YoY - Residential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~+0.3% vs. cons -0.05%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YoY - Residential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~1.6% vs. cons 1.37%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Core FFO per Share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11.35</m:t>
              </m:r>
              <m:r>
                <m:rPr>
                  <m:sty m:val="p"/>
                </m:rPr>
                <m:t>−</m:t>
              </m:r>
            </m:oMath>
            <w:r>
              <w:t xml:space="preserve">11.40 mid vs. cons $11.331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NOI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~+0.5%-+0.8% mid vs. cons +0.532%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Same-Store Revenue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~1.6%-1.8% mid vs. cons 1.645%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 per Share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2.80</m:t>
              </m:r>
              <m:r>
                <m:rPr>
                  <m:sty m:val="p"/>
                </m:rPr>
                <m:t>−</m:t>
              </m:r>
            </m:oMath>
            <w:r>
              <w:t xml:space="preserve">2.86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Blended Rent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reaffirm 2.5% H2 target; more confident tone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partial; merger arb cap limits estimate revision follow-through; development NOI ramp and FY raise provide a modest bid over 5 days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2026-07-24T23:23:27Z</dcterms:created>
  <dcterms:modified xsi:type="dcterms:W3CDTF">2026-07-24T23:23:27Z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