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AvalonBay Communities (AVB) — Q2 2026 Earnings Preview</w:t>
      </w:r>
    </w:p>
    <w:p>
      <w:r>
        <w:rPr>
          <w:rFonts w:ascii="Calibri" w:hAnsi="Calibri"/>
          <w:b/>
          <w:color w:val="525866"/>
          <w:sz w:val="22"/>
        </w:rPr>
        <w:t xml:space="preserve">Company: </w:t>
      </w:r>
      <w:r>
        <w:rPr>
          <w:rFonts w:ascii="Calibri" w:hAnsi="Calibri"/>
          <w:color w:val="525866"/>
          <w:sz w:val="22"/>
        </w:rPr>
        <w:t xml:space="preserve">AvalonBay Communities, Inc. (NYSE: AVB)   </w:t>
      </w:r>
      <w:r>
        <w:rPr>
          <w:rFonts w:ascii="Calibri" w:hAnsi="Calibri"/>
          <w:b/>
          <w:color w:val="525866"/>
          <w:sz w:val="22"/>
        </w:rPr>
        <w:t xml:space="preserve">Upcoming Earnings: </w:t>
      </w:r>
      <w:r>
        <w:rPr>
          <w:rFonts w:ascii="Calibri" w:hAnsi="Calibri"/>
          <w:color w:val="525866"/>
          <w:sz w:val="22"/>
        </w:rPr>
        <w:t xml:space="preserve">TBD (expected late July / early August 2026)   </w:t>
      </w:r>
      <w:r>
        <w:rPr>
          <w:rFonts w:ascii="Calibri" w:hAnsi="Calibri"/>
          <w:b/>
          <w:color w:val="525866"/>
          <w:sz w:val="22"/>
        </w:rPr>
        <w:t xml:space="preserve">Reporting Period: </w:t>
      </w:r>
      <w:r>
        <w:rPr>
          <w:rFonts w:ascii="Calibri" w:hAnsi="Calibri"/>
          <w:color w:val="525866"/>
          <w:sz w:val="22"/>
        </w:rPr>
        <w:t xml:space="preserve">Q2 2026 (quarter ended June 30, 2026)   </w:t>
      </w:r>
      <w:r>
        <w:rPr>
          <w:rFonts w:ascii="Calibri" w:hAnsi="Calibri"/>
          <w:b/>
          <w:color w:val="525866"/>
          <w:sz w:val="22"/>
        </w:rPr>
        <w:t xml:space="preserve">Prepared: </w:t>
      </w:r>
      <w:r>
        <w:rPr>
          <w:rFonts w:ascii="Calibri" w:hAnsi="Calibri"/>
          <w:color w:val="525866"/>
          <w:sz w:val="22"/>
        </w:rPr>
        <w:t>July 21, 2026</w:t>
      </w:r>
    </w:p>
    <w:p>
      <w:r>
        <w:rPr>
          <w:rFonts w:ascii="Calibri" w:hAnsi="Calibri"/>
          <w:b/>
          <w:color w:val="525866"/>
          <w:sz w:val="22"/>
        </w:rPr>
        <w:t xml:space="preserve">⚠ Merger Context: </w:t>
      </w:r>
      <w:r>
        <w:rPr>
          <w:rFonts w:ascii="Calibri" w:hAnsi="Calibri"/>
          <w:color w:val="525866"/>
          <w:sz w:val="22"/>
        </w:rPr>
        <w:t>On May 21, 2026, AVB and Equity Residential (EQR) announced an all-stock merger of equals. AVB shareholders receive 2.793 EQR shares per AVB share (fixed exchange ratio). The combined entity will have ~$52B equity market cap and ~$69B enterprise value with 180,000+ apartments. Closing expected 2H 2026, subject to shareholder approval. Ben Schall (EQR CEO) will lead the combined company. This merger is the dominant narrative heading into Q2 earnings.</w:t>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Q2 2026 print is largely a sideshow to the pending AVB/EQR merger of equals announced May 21, 2026; the real question is whether peak leasing season data supports or challenges the full-year guidance management chose to affirm rather than raise at Q1.</w:t>
      </w:r>
    </w:p>
    <w:p>
      <w:r>
        <w:rPr>
          <w:rFonts w:ascii="Calibri" w:hAnsi="Calibri"/>
          <w:color w:val="525866"/>
          <w:sz w:val="22"/>
        </w:rPr>
        <w:t>The bar heading into Q2 is modest: consensus Core FFO of $2.81/share sits just above management’s own guidance midpoint of $2.77 (range $2.72–$2.82), and AVB has beaten Core FFO consensus in 6 of the last 8 quarters. Management’s posture at Q1 was deliberately cautious — they affirmed full-year guidance rather than raising despite a $0.05 beat, explicitly flagging that 80% of the Q1 outperformance was deferred operating expenses expected to hit in Q2–Q4, and stating they wanted to see peak leasing season data before adjusting the full-year outlook; the Q2 call is therefore the first opportunity to raise or cut guidance. Estimate revisions have been essentially flat since Q1 earnings (Core FFO Q2 consensus moved from $2.818 to $2.811, a -0.3% drift), confirming the Street is in the same wait-and-see posture as management. On the stock, AVB has outperformed VNQ (+9.4% vs +5.0%) and the S&amp;P 500 (+4.6%) since Q1 earnings, but the outperformance is almost entirely attributable to the May 21 merger announcement — the stock now trades as a quasi-EQR proxy given the fixed 2.793x exchange ratio, meaning standalone fundamental performance has become secondary to deal execution risk. The single biggest wildcard is peak leasing season blended rent data for May/June/July: management guided 1.25% blended for H1 and 2.5% for H2, April was tracking at “high 1% range, almost 2%,” and peer commentary from ESS, EQR, and UDR all point to meaningful acceleration in April/May — any upside here could prompt a guidance raise, but the merger context means the market may care more about deal progress than standalone fundamentals.</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is a modest and achievable bar on Core FFO given management’s own guidance midpoint of $2.77 vs. consensus of $2.81; same-store NOI growth is the bigger swing factor, with consensus near flat (-0.03% YoY) heading into peak leasing season as deferred Q1 expenses are expected to weigh on Q2 results.</w:t>
      </w:r>
    </w:p>
    <w:p>
      <w:r>
        <w:rPr>
          <w:rFonts w:ascii="Calibri" w:hAnsi="Calibri"/>
          <w:b/>
          <w:color w:val="525866"/>
          <w:sz w:val="22"/>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w:t>
            </w:r>
          </w:p>
        </w:tc>
        <w:tc>
          <w:tcPr>
            <w:tcW w:type="dxa" w:w="1234"/>
            <w:shd w:val="clear" w:color="auto" w:fill="3B4259"/>
          </w:tcPr>
          <w:p>
            <w:r>
              <w:rPr>
                <w:rFonts w:ascii="Calibri" w:hAnsi="Calibri"/>
                <w:b/>
                <w:color w:val="FFFFFF"/>
                <w:sz w:val="22"/>
              </w:rPr>
              <w:t>Q2 2026 Consensus</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Core FFO per Share — Diluted ($)</w:t>
            </w:r>
          </w:p>
        </w:tc>
        <w:tc>
          <w:tcPr>
            <w:tcW w:type="dxa" w:w="1234"/>
          </w:tcPr>
          <w:p>
            <w:r>
              <w:rPr>
                <w:rFonts w:ascii="Calibri" w:hAnsi="Calibri"/>
                <w:sz w:val="22"/>
              </w:rPr>
              <w:t>$2.83</w:t>
            </w:r>
          </w:p>
        </w:tc>
        <w:tc>
          <w:tcPr>
            <w:tcW w:type="dxa" w:w="1234"/>
          </w:tcPr>
          <w:p>
            <w:r>
              <w:rPr>
                <w:rFonts w:ascii="Calibri" w:hAnsi="Calibri"/>
                <w:sz w:val="22"/>
              </w:rPr>
              <w:t>$2.82</w:t>
            </w:r>
          </w:p>
        </w:tc>
        <w:tc>
          <w:tcPr>
            <w:tcW w:type="dxa" w:w="1234"/>
          </w:tcPr>
          <w:p>
            <w:r>
              <w:rPr>
                <w:rFonts w:ascii="Calibri" w:hAnsi="Calibri"/>
                <w:sz w:val="22"/>
              </w:rPr>
              <w:t>$2.81</w:t>
            </w:r>
          </w:p>
        </w:tc>
        <w:tc>
          <w:tcPr>
            <w:tcW w:type="dxa" w:w="1234"/>
          </w:tcPr>
          <w:p>
            <w:r>
              <w:rPr>
                <w:rFonts w:ascii="Calibri" w:hAnsi="Calibri"/>
                <w:sz w:val="22"/>
              </w:rPr>
              <w:t>-0.4%</w:t>
            </w:r>
          </w:p>
        </w:tc>
        <w:tc>
          <w:tcPr>
            <w:tcW w:type="dxa" w:w="1234"/>
          </w:tcPr>
          <w:p>
            <w:r>
              <w:rPr>
                <w:rFonts w:ascii="Calibri" w:hAnsi="Calibri"/>
                <w:sz w:val="22"/>
              </w:rPr>
              <w:t>$2.72–$2.82 (mid $2.77)</w:t>
            </w:r>
          </w:p>
        </w:tc>
        <w:tc>
          <w:tcPr>
            <w:tcW w:type="dxa" w:w="1234"/>
          </w:tcPr>
          <w:p>
            <w:r>
              <w:rPr>
                <w:rFonts w:ascii="Calibri" w:hAnsi="Calibri"/>
                <w:sz w:val="22"/>
              </w:rPr>
              <w:t>+1.4% above midpoint</w:t>
            </w:r>
          </w:p>
        </w:tc>
      </w:tr>
      <w:tr>
        <w:tc>
          <w:tcPr>
            <w:tcW w:type="dxa" w:w="1234"/>
          </w:tcPr>
          <w:p>
            <w:r>
              <w:rPr>
                <w:rFonts w:ascii="Calibri" w:hAnsi="Calibri"/>
                <w:sz w:val="22"/>
              </w:rPr>
              <w:t>Same-Store Revenue Growth — Residential (%)</w:t>
            </w:r>
          </w:p>
        </w:tc>
        <w:tc>
          <w:tcPr>
            <w:tcW w:type="dxa" w:w="1234"/>
          </w:tcPr>
          <w:p>
            <w:r>
              <w:rPr>
                <w:rFonts w:ascii="Calibri" w:hAnsi="Calibri"/>
                <w:sz w:val="22"/>
              </w:rPr>
              <w:t>1.6%</w:t>
            </w:r>
          </w:p>
        </w:tc>
        <w:tc>
          <w:tcPr>
            <w:tcW w:type="dxa" w:w="1234"/>
          </w:tcPr>
          <w:p>
            <w:r>
              <w:rPr>
                <w:rFonts w:ascii="Calibri" w:hAnsi="Calibri"/>
                <w:sz w:val="22"/>
              </w:rPr>
              <w:t>3.0%</w:t>
            </w:r>
          </w:p>
        </w:tc>
        <w:tc>
          <w:tcPr>
            <w:tcW w:type="dxa" w:w="1234"/>
          </w:tcPr>
          <w:p>
            <w:r>
              <w:rPr>
                <w:rFonts w:ascii="Calibri" w:hAnsi="Calibri"/>
                <w:sz w:val="22"/>
              </w:rPr>
              <w:t>1.38%</w:t>
            </w:r>
          </w:p>
        </w:tc>
        <w:tc>
          <w:tcPr>
            <w:tcW w:type="dxa" w:w="1234"/>
          </w:tcPr>
          <w:p>
            <w:r>
              <w:rPr>
                <w:rFonts w:ascii="Calibri" w:hAnsi="Calibri"/>
                <w:sz w:val="22"/>
              </w:rPr>
              <w:t>-162 bps</w:t>
            </w:r>
          </w:p>
        </w:tc>
        <w:tc>
          <w:tcPr>
            <w:tcW w:type="dxa" w:w="1234"/>
          </w:tcPr>
          <w:p>
            <w:r>
              <w:rPr>
                <w:rFonts w:ascii="Calibri" w:hAnsi="Calibri"/>
                <w:sz w:val="22"/>
              </w:rPr>
              <w:t>~1.25% H1 blended rent change</w:t>
            </w:r>
          </w:p>
        </w:tc>
        <w:tc>
          <w:tcPr>
            <w:tcW w:type="dxa" w:w="1234"/>
          </w:tcPr>
          <w:p>
            <w:r>
              <w:rPr>
                <w:rFonts w:ascii="Calibri" w:hAnsi="Calibri"/>
                <w:sz w:val="22"/>
              </w:rPr>
              <w:t>+13 bps above guidance</w:t>
            </w:r>
          </w:p>
        </w:tc>
      </w:tr>
      <w:tr>
        <w:tc>
          <w:tcPr>
            <w:tcW w:type="dxa" w:w="1234"/>
          </w:tcPr>
          <w:p>
            <w:r>
              <w:rPr>
                <w:rFonts w:ascii="Calibri" w:hAnsi="Calibri"/>
                <w:sz w:val="22"/>
              </w:rPr>
              <w:t>Same-Store NOI Growth — Residential (%)</w:t>
            </w:r>
          </w:p>
        </w:tc>
        <w:tc>
          <w:tcPr>
            <w:tcW w:type="dxa" w:w="1234"/>
          </w:tcPr>
          <w:p>
            <w:r>
              <w:rPr>
                <w:rFonts w:ascii="Calibri" w:hAnsi="Calibri"/>
                <w:sz w:val="22"/>
              </w:rPr>
              <w:t>0.2%</w:t>
            </w:r>
          </w:p>
        </w:tc>
        <w:tc>
          <w:tcPr>
            <w:tcW w:type="dxa" w:w="1234"/>
          </w:tcPr>
          <w:p>
            <w:r>
              <w:rPr>
                <w:rFonts w:ascii="Calibri" w:hAnsi="Calibri"/>
                <w:sz w:val="22"/>
              </w:rPr>
              <w:t>2.7%</w:t>
            </w:r>
          </w:p>
        </w:tc>
        <w:tc>
          <w:tcPr>
            <w:tcW w:type="dxa" w:w="1234"/>
          </w:tcPr>
          <w:p>
            <w:r>
              <w:rPr>
                <w:rFonts w:ascii="Calibri" w:hAnsi="Calibri"/>
                <w:sz w:val="22"/>
              </w:rPr>
              <w:t>-0.03%</w:t>
            </w:r>
          </w:p>
        </w:tc>
        <w:tc>
          <w:tcPr>
            <w:tcW w:type="dxa" w:w="1234"/>
          </w:tcPr>
          <w:p>
            <w:r>
              <w:rPr>
                <w:rFonts w:ascii="Calibri" w:hAnsi="Calibri"/>
                <w:sz w:val="22"/>
              </w:rPr>
              <w:t>-273 bps</w:t>
            </w:r>
          </w:p>
        </w:tc>
        <w:tc>
          <w:tcPr>
            <w:tcW w:type="dxa" w:w="1234"/>
          </w:tcPr>
          <w:p>
            <w:r>
              <w:rPr>
                <w:rFonts w:ascii="Calibri" w:hAnsi="Calibri"/>
                <w:sz w:val="22"/>
              </w:rPr>
              <w:t>N/A — not explicitly guided</w:t>
            </w:r>
          </w:p>
        </w:tc>
        <w:tc>
          <w:tcPr>
            <w:tcW w:type="dxa" w:w="1234"/>
          </w:tcPr>
          <w:p>
            <w:r>
              <w:rPr>
                <w:rFonts w:ascii="Calibri" w:hAnsi="Calibri"/>
                <w:sz w:val="22"/>
              </w:rPr>
              <w:t>N/A</w:t>
            </w:r>
          </w:p>
        </w:tc>
      </w:tr>
      <w:tr>
        <w:tc>
          <w:tcPr>
            <w:tcW w:type="dxa" w:w="1234"/>
          </w:tcPr>
          <w:p>
            <w:r>
              <w:rPr>
                <w:rFonts w:ascii="Calibri" w:hAnsi="Calibri"/>
                <w:sz w:val="22"/>
              </w:rPr>
              <w:t>Same-Store Revenue — Residential ($M)</w:t>
            </w:r>
          </w:p>
        </w:tc>
        <w:tc>
          <w:tcPr>
            <w:tcW w:type="dxa" w:w="1234"/>
          </w:tcPr>
          <w:p>
            <w:r>
              <w:rPr>
                <w:rFonts w:ascii="Calibri" w:hAnsi="Calibri"/>
                <w:sz w:val="22"/>
              </w:rPr>
              <w:t>$704.0M</w:t>
            </w:r>
          </w:p>
        </w:tc>
        <w:tc>
          <w:tcPr>
            <w:tcW w:type="dxa" w:w="1234"/>
          </w:tcPr>
          <w:p>
            <w:r>
              <w:rPr>
                <w:rFonts w:ascii="Calibri" w:hAnsi="Calibri"/>
                <w:sz w:val="22"/>
              </w:rPr>
              <w:t>$689.1M</w:t>
            </w:r>
          </w:p>
        </w:tc>
        <w:tc>
          <w:tcPr>
            <w:tcW w:type="dxa" w:w="1234"/>
          </w:tcPr>
          <w:p>
            <w:r>
              <w:rPr>
                <w:rFonts w:ascii="Calibri" w:hAnsi="Calibri"/>
                <w:sz w:val="22"/>
              </w:rPr>
              <w:t>$707.2M</w:t>
            </w:r>
          </w:p>
        </w:tc>
        <w:tc>
          <w:tcPr>
            <w:tcW w:type="dxa" w:w="1234"/>
          </w:tcPr>
          <w:p>
            <w:r>
              <w:rPr>
                <w:rFonts w:ascii="Calibri" w:hAnsi="Calibri"/>
                <w:sz w:val="22"/>
              </w:rPr>
              <w:t>+2.6%</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Same-Store NOI — Residential ($M)</w:t>
            </w:r>
          </w:p>
        </w:tc>
        <w:tc>
          <w:tcPr>
            <w:tcW w:type="dxa" w:w="1234"/>
          </w:tcPr>
          <w:p>
            <w:r>
              <w:rPr>
                <w:rFonts w:ascii="Calibri" w:hAnsi="Calibri"/>
                <w:sz w:val="22"/>
              </w:rPr>
              <w:t>$479.9M</w:t>
            </w:r>
          </w:p>
        </w:tc>
        <w:tc>
          <w:tcPr>
            <w:tcW w:type="dxa" w:w="1234"/>
          </w:tcPr>
          <w:p>
            <w:r>
              <w:rPr>
                <w:rFonts w:ascii="Calibri" w:hAnsi="Calibri"/>
                <w:sz w:val="22"/>
              </w:rPr>
              <w:t>$506.5M</w:t>
            </w:r>
          </w:p>
        </w:tc>
        <w:tc>
          <w:tcPr>
            <w:tcW w:type="dxa" w:w="1234"/>
          </w:tcPr>
          <w:p>
            <w:r>
              <w:rPr>
                <w:rFonts w:ascii="Calibri" w:hAnsi="Calibri"/>
                <w:sz w:val="22"/>
              </w:rPr>
              <w:t>$483.4M</w:t>
            </w:r>
          </w:p>
        </w:tc>
        <w:tc>
          <w:tcPr>
            <w:tcW w:type="dxa" w:w="1234"/>
          </w:tcPr>
          <w:p>
            <w:r>
              <w:rPr>
                <w:rFonts w:ascii="Calibri" w:hAnsi="Calibri"/>
                <w:sz w:val="22"/>
              </w:rPr>
              <w:t>-4.6%</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Occupancy Rate — Same-Store (%)</w:t>
            </w:r>
          </w:p>
        </w:tc>
        <w:tc>
          <w:tcPr>
            <w:tcW w:type="dxa" w:w="1234"/>
          </w:tcPr>
          <w:p>
            <w:r>
              <w:rPr>
                <w:rFonts w:ascii="Calibri" w:hAnsi="Calibri"/>
                <w:sz w:val="22"/>
              </w:rPr>
              <w:t>96.1%</w:t>
            </w:r>
          </w:p>
        </w:tc>
        <w:tc>
          <w:tcPr>
            <w:tcW w:type="dxa" w:w="1234"/>
          </w:tcPr>
          <w:p>
            <w:r>
              <w:rPr>
                <w:rFonts w:ascii="Calibri" w:hAnsi="Calibri"/>
                <w:sz w:val="22"/>
              </w:rPr>
              <w:t>96.2%</w:t>
            </w:r>
          </w:p>
        </w:tc>
        <w:tc>
          <w:tcPr>
            <w:tcW w:type="dxa" w:w="1234"/>
          </w:tcPr>
          <w:p>
            <w:r>
              <w:rPr>
                <w:rFonts w:ascii="Calibri" w:hAnsi="Calibri"/>
                <w:sz w:val="22"/>
              </w:rPr>
              <w:t>96.03%</w:t>
            </w:r>
          </w:p>
        </w:tc>
        <w:tc>
          <w:tcPr>
            <w:tcW w:type="dxa" w:w="1234"/>
          </w:tcPr>
          <w:p>
            <w:r>
              <w:rPr>
                <w:rFonts w:ascii="Calibri" w:hAnsi="Calibri"/>
                <w:sz w:val="22"/>
              </w:rPr>
              <w:t>-17 bps</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Effective Blended Lease Rates — Same Store (%)</w:t>
            </w:r>
          </w:p>
        </w:tc>
        <w:tc>
          <w:tcPr>
            <w:tcW w:type="dxa" w:w="1234"/>
          </w:tcPr>
          <w:p>
            <w:r>
              <w:rPr>
                <w:rFonts w:ascii="Calibri" w:hAnsi="Calibri"/>
                <w:sz w:val="22"/>
              </w:rPr>
              <w:t>0.4%</w:t>
            </w:r>
          </w:p>
        </w:tc>
        <w:tc>
          <w:tcPr>
            <w:tcW w:type="dxa" w:w="1234"/>
          </w:tcPr>
          <w:p>
            <w:r>
              <w:rPr>
                <w:rFonts w:ascii="Calibri" w:hAnsi="Calibri"/>
                <w:sz w:val="22"/>
              </w:rPr>
              <w:t>2.5%</w:t>
            </w:r>
          </w:p>
        </w:tc>
        <w:tc>
          <w:tcPr>
            <w:tcW w:type="dxa" w:w="1234"/>
          </w:tcPr>
          <w:p>
            <w:r>
              <w:rPr>
                <w:rFonts w:ascii="Calibri" w:hAnsi="Calibri"/>
                <w:sz w:val="22"/>
              </w:rPr>
              <w:t>2.15%</w:t>
            </w:r>
          </w:p>
        </w:tc>
        <w:tc>
          <w:tcPr>
            <w:tcW w:type="dxa" w:w="1234"/>
          </w:tcPr>
          <w:p>
            <w:r>
              <w:rPr>
                <w:rFonts w:ascii="Calibri" w:hAnsi="Calibri"/>
                <w:sz w:val="22"/>
              </w:rPr>
              <w:t>-35 bps</w:t>
            </w:r>
          </w:p>
        </w:tc>
        <w:tc>
          <w:tcPr>
            <w:tcW w:type="dxa" w:w="1234"/>
          </w:tcPr>
          <w:p>
            <w:r>
              <w:rPr>
                <w:rFonts w:ascii="Calibri" w:hAnsi="Calibri"/>
                <w:sz w:val="22"/>
              </w:rPr>
              <w:t>1.25% H1 / 2.5% H2</w:t>
            </w:r>
          </w:p>
        </w:tc>
        <w:tc>
          <w:tcPr>
            <w:tcW w:type="dxa" w:w="1234"/>
          </w:tcPr>
          <w:p>
            <w:r>
              <w:rPr>
                <w:rFonts w:ascii="Calibri" w:hAnsi="Calibri"/>
                <w:sz w:val="22"/>
              </w:rPr>
              <w:t>+90 bps above H1 guide</w:t>
            </w:r>
          </w:p>
        </w:tc>
      </w:tr>
    </w:tbl>
    <w:p>
      <w:r>
        <w:rPr>
          <w:rFonts w:ascii="Calibri" w:hAnsi="Calibri"/>
          <w:i/>
          <w:color w:val="525866"/>
          <w:sz w:val="22"/>
        </w:rPr>
        <w:t xml:space="preserve">Source: Visible Alpha consensus data. </w:t>
      </w:r>
      <w:r>
        <w:rPr>
          <w:rFonts w:ascii="Calibri" w:hAnsi="Calibri"/>
          <w:i/>
          <w:color w:val="525866"/>
          <w:sz w:val="22"/>
        </w:rPr>
        <w:t>Q2 2026 Core FFO consensus of $2.81 sits above management’s $2.77 midpoint, suggesting the Street is pricing in modest upside from development NOI and buyback accretion. The same-store NOI consensus of -0.03% YoY reflects the expense timing headwind management flagged at Q1 (80% of Q1 beat was deferred costs expected to hit in remaining quarters).</w:t>
      </w:r>
    </w:p>
    <w:p>
      <w:r>
        <w:rPr>
          <w:rFonts w:ascii="Calibri" w:hAnsi="Calibri"/>
          <w:b/>
          <w:color w:val="525866"/>
          <w:sz w:val="22"/>
        </w:rPr>
        <w:t>Table 2 — Beat/Miss History (Last 8 Quarters, Core FFO per Share &amp; Same-Store NOI Growth)</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Quarter</w:t>
            </w:r>
          </w:p>
        </w:tc>
        <w:tc>
          <w:tcPr>
            <w:tcW w:type="dxa" w:w="1080"/>
            <w:shd w:val="clear" w:color="auto" w:fill="3B4259"/>
          </w:tcPr>
          <w:p>
            <w:r>
              <w:rPr>
                <w:rFonts w:ascii="Calibri" w:hAnsi="Calibri"/>
                <w:b/>
                <w:color w:val="FFFFFF"/>
                <w:sz w:val="22"/>
              </w:rPr>
              <w:t>Core FFO Reported</w:t>
            </w:r>
          </w:p>
        </w:tc>
        <w:tc>
          <w:tcPr>
            <w:tcW w:type="dxa" w:w="1080"/>
            <w:shd w:val="clear" w:color="auto" w:fill="3B4259"/>
          </w:tcPr>
          <w:p>
            <w:r>
              <w:rPr>
                <w:rFonts w:ascii="Calibri" w:hAnsi="Calibri"/>
                <w:b/>
                <w:color w:val="FFFFFF"/>
                <w:sz w:val="22"/>
              </w:rPr>
              <w:t>Core FFO Consensus</w:t>
            </w:r>
          </w:p>
        </w:tc>
        <w:tc>
          <w:tcPr>
            <w:tcW w:type="dxa" w:w="1080"/>
            <w:shd w:val="clear" w:color="auto" w:fill="3B4259"/>
          </w:tcPr>
          <w:p>
            <w:r>
              <w:rPr>
                <w:rFonts w:ascii="Calibri" w:hAnsi="Calibri"/>
                <w:b/>
                <w:color w:val="FFFFFF"/>
                <w:sz w:val="22"/>
              </w:rPr>
              <w:t>Core FFO Surprise</w:t>
            </w:r>
          </w:p>
        </w:tc>
        <w:tc>
          <w:tcPr>
            <w:tcW w:type="dxa" w:w="1080"/>
            <w:shd w:val="clear" w:color="auto" w:fill="3B4259"/>
          </w:tcPr>
          <w:p>
            <w:r>
              <w:rPr>
                <w:rFonts w:ascii="Calibri" w:hAnsi="Calibri"/>
                <w:b/>
                <w:color w:val="FFFFFF"/>
                <w:sz w:val="22"/>
              </w:rPr>
              <w:t>Result</w:t>
            </w:r>
          </w:p>
        </w:tc>
        <w:tc>
          <w:tcPr>
            <w:tcW w:type="dxa" w:w="1080"/>
            <w:shd w:val="clear" w:color="auto" w:fill="3B4259"/>
          </w:tcPr>
          <w:p>
            <w:r>
              <w:rPr>
                <w:rFonts w:ascii="Calibri" w:hAnsi="Calibri"/>
                <w:b/>
                <w:color w:val="FFFFFF"/>
                <w:sz w:val="22"/>
              </w:rPr>
              <w:t>SS NOI Growth Reported</w:t>
            </w:r>
          </w:p>
        </w:tc>
        <w:tc>
          <w:tcPr>
            <w:tcW w:type="dxa" w:w="1080"/>
            <w:shd w:val="clear" w:color="auto" w:fill="3B4259"/>
          </w:tcPr>
          <w:p>
            <w:r>
              <w:rPr>
                <w:rFonts w:ascii="Calibri" w:hAnsi="Calibri"/>
                <w:b/>
                <w:color w:val="FFFFFF"/>
                <w:sz w:val="22"/>
              </w:rPr>
              <w:t>SS NOI Growth Consensus</w:t>
            </w:r>
          </w:p>
        </w:tc>
        <w:tc>
          <w:tcPr>
            <w:tcW w:type="dxa" w:w="1080"/>
            <w:shd w:val="clear" w:color="auto" w:fill="3B4259"/>
          </w:tcPr>
          <w:p>
            <w:r>
              <w:rPr>
                <w:rFonts w:ascii="Calibri" w:hAnsi="Calibri"/>
                <w:b/>
                <w:color w:val="FFFFFF"/>
                <w:sz w:val="22"/>
              </w:rPr>
              <w:t>SS NOI Surprise</w:t>
            </w:r>
          </w:p>
        </w:tc>
      </w:tr>
      <w:tr>
        <w:tc>
          <w:tcPr>
            <w:tcW w:type="dxa" w:w="1080"/>
          </w:tcPr>
          <w:p>
            <w:r>
              <w:rPr>
                <w:rFonts w:ascii="Calibri" w:hAnsi="Calibri"/>
                <w:sz w:val="22"/>
              </w:rPr>
              <w:t>Q1 2026</w:t>
            </w:r>
          </w:p>
        </w:tc>
        <w:tc>
          <w:tcPr>
            <w:tcW w:type="dxa" w:w="1080"/>
          </w:tcPr>
          <w:p>
            <w:r>
              <w:rPr>
                <w:rFonts w:ascii="Calibri" w:hAnsi="Calibri"/>
                <w:sz w:val="22"/>
              </w:rPr>
              <w:t>$2.83</w:t>
            </w:r>
          </w:p>
        </w:tc>
        <w:tc>
          <w:tcPr>
            <w:tcW w:type="dxa" w:w="1080"/>
          </w:tcPr>
          <w:p>
            <w:r>
              <w:rPr>
                <w:rFonts w:ascii="Calibri" w:hAnsi="Calibri"/>
                <w:sz w:val="22"/>
              </w:rPr>
              <w:t>$2.80</w:t>
            </w:r>
          </w:p>
        </w:tc>
        <w:tc>
          <w:tcPr>
            <w:tcW w:type="dxa" w:w="1080"/>
          </w:tcPr>
          <w:p>
            <w:r>
              <w:rPr>
                <w:rFonts w:ascii="Calibri" w:hAnsi="Calibri"/>
                <w:b/>
                <w:color w:val="30A46C"/>
                <w:sz w:val="22"/>
              </w:rPr>
              <w:t>+1.1%</w:t>
            </w:r>
          </w:p>
        </w:tc>
        <w:tc>
          <w:tcPr>
            <w:tcW w:type="dxa" w:w="1080"/>
          </w:tcPr>
          <w:p>
            <w:r>
              <w:rPr>
                <w:rFonts w:ascii="Calibri" w:hAnsi="Calibri"/>
                <w:b/>
                <w:color w:val="30A46C"/>
                <w:sz w:val="22"/>
              </w:rPr>
              <w:t>Beat</w:t>
            </w:r>
          </w:p>
        </w:tc>
        <w:tc>
          <w:tcPr>
            <w:tcW w:type="dxa" w:w="1080"/>
          </w:tcPr>
          <w:p>
            <w:r>
              <w:rPr>
                <w:rFonts w:ascii="Calibri" w:hAnsi="Calibri"/>
                <w:sz w:val="22"/>
              </w:rPr>
              <w:t>0.2%</w:t>
            </w:r>
          </w:p>
        </w:tc>
        <w:tc>
          <w:tcPr>
            <w:tcW w:type="dxa" w:w="1080"/>
          </w:tcPr>
          <w:p>
            <w:r>
              <w:rPr>
                <w:rFonts w:ascii="Calibri" w:hAnsi="Calibri"/>
                <w:sz w:val="22"/>
              </w:rPr>
              <w:t>0.07%</w:t>
            </w:r>
          </w:p>
        </w:tc>
        <w:tc>
          <w:tcPr>
            <w:tcW w:type="dxa" w:w="1080"/>
          </w:tcPr>
          <w:p>
            <w:r>
              <w:rPr>
                <w:rFonts w:ascii="Calibri" w:hAnsi="Calibri"/>
                <w:b/>
                <w:color w:val="30A46C"/>
                <w:sz w:val="22"/>
              </w:rPr>
              <w:t>+13 bps</w:t>
            </w:r>
          </w:p>
        </w:tc>
      </w:tr>
      <w:tr>
        <w:tc>
          <w:tcPr>
            <w:tcW w:type="dxa" w:w="1080"/>
          </w:tcPr>
          <w:p>
            <w:r>
              <w:rPr>
                <w:rFonts w:ascii="Calibri" w:hAnsi="Calibri"/>
                <w:sz w:val="22"/>
              </w:rPr>
              <w:t>Q4 2025</w:t>
            </w:r>
          </w:p>
        </w:tc>
        <w:tc>
          <w:tcPr>
            <w:tcW w:type="dxa" w:w="1080"/>
          </w:tcPr>
          <w:p>
            <w:r>
              <w:rPr>
                <w:rFonts w:ascii="Calibri" w:hAnsi="Calibri"/>
                <w:sz w:val="22"/>
              </w:rPr>
              <w:t>$2.85</w:t>
            </w:r>
          </w:p>
        </w:tc>
        <w:tc>
          <w:tcPr>
            <w:tcW w:type="dxa" w:w="1080"/>
          </w:tcPr>
          <w:p>
            <w:r>
              <w:rPr>
                <w:rFonts w:ascii="Calibri" w:hAnsi="Calibri"/>
                <w:sz w:val="22"/>
              </w:rPr>
              <w:t>$2.85</w:t>
            </w:r>
          </w:p>
        </w:tc>
        <w:tc>
          <w:tcPr>
            <w:tcW w:type="dxa" w:w="1080"/>
          </w:tcPr>
          <w:p>
            <w:r>
              <w:rPr>
                <w:rFonts w:ascii="Calibri" w:hAnsi="Calibri"/>
                <w:sz w:val="22"/>
              </w:rPr>
              <w:t>0.0%</w:t>
            </w:r>
          </w:p>
        </w:tc>
        <w:tc>
          <w:tcPr>
            <w:tcW w:type="dxa" w:w="1080"/>
          </w:tcPr>
          <w:p>
            <w:r>
              <w:rPr>
                <w:rFonts w:ascii="Calibri" w:hAnsi="Calibri"/>
                <w:sz w:val="22"/>
              </w:rPr>
              <w:t>In-line</w:t>
            </w:r>
          </w:p>
        </w:tc>
        <w:tc>
          <w:tcPr>
            <w:tcW w:type="dxa" w:w="1080"/>
          </w:tcPr>
          <w:p>
            <w:r>
              <w:rPr>
                <w:rFonts w:ascii="Calibri" w:hAnsi="Calibri"/>
                <w:sz w:val="22"/>
              </w:rPr>
              <w:t>1.3%</w:t>
            </w:r>
          </w:p>
        </w:tc>
        <w:tc>
          <w:tcPr>
            <w:tcW w:type="dxa" w:w="1080"/>
          </w:tcPr>
          <w:p>
            <w:r>
              <w:rPr>
                <w:rFonts w:ascii="Calibri" w:hAnsi="Calibri"/>
                <w:sz w:val="22"/>
              </w:rPr>
              <w:t>1.49%</w:t>
            </w:r>
          </w:p>
        </w:tc>
        <w:tc>
          <w:tcPr>
            <w:tcW w:type="dxa" w:w="1080"/>
          </w:tcPr>
          <w:p>
            <w:r>
              <w:rPr>
                <w:rFonts w:ascii="Calibri" w:hAnsi="Calibri"/>
                <w:b/>
                <w:color w:val="E5484D"/>
                <w:sz w:val="22"/>
              </w:rPr>
              <w:t>-19 bps</w:t>
            </w:r>
          </w:p>
        </w:tc>
      </w:tr>
      <w:tr>
        <w:tc>
          <w:tcPr>
            <w:tcW w:type="dxa" w:w="1080"/>
          </w:tcPr>
          <w:p>
            <w:r>
              <w:rPr>
                <w:rFonts w:ascii="Calibri" w:hAnsi="Calibri"/>
                <w:sz w:val="22"/>
              </w:rPr>
              <w:t>Q3 2025</w:t>
            </w:r>
          </w:p>
        </w:tc>
        <w:tc>
          <w:tcPr>
            <w:tcW w:type="dxa" w:w="1080"/>
          </w:tcPr>
          <w:p>
            <w:r>
              <w:rPr>
                <w:rFonts w:ascii="Calibri" w:hAnsi="Calibri"/>
                <w:sz w:val="22"/>
              </w:rPr>
              <w:t>$2.75</w:t>
            </w:r>
          </w:p>
        </w:tc>
        <w:tc>
          <w:tcPr>
            <w:tcW w:type="dxa" w:w="1080"/>
          </w:tcPr>
          <w:p>
            <w:r>
              <w:rPr>
                <w:rFonts w:ascii="Calibri" w:hAnsi="Calibri"/>
                <w:sz w:val="22"/>
              </w:rPr>
              <w:t>$2.81</w:t>
            </w:r>
          </w:p>
        </w:tc>
        <w:tc>
          <w:tcPr>
            <w:tcW w:type="dxa" w:w="1080"/>
          </w:tcPr>
          <w:p>
            <w:r>
              <w:rPr>
                <w:rFonts w:ascii="Calibri" w:hAnsi="Calibri"/>
                <w:b/>
                <w:color w:val="E5484D"/>
                <w:sz w:val="22"/>
              </w:rPr>
              <w:t>-2.1%</w:t>
            </w:r>
          </w:p>
        </w:tc>
        <w:tc>
          <w:tcPr>
            <w:tcW w:type="dxa" w:w="1080"/>
          </w:tcPr>
          <w:p>
            <w:r>
              <w:rPr>
                <w:rFonts w:ascii="Calibri" w:hAnsi="Calibri"/>
                <w:b/>
                <w:color w:val="E5484D"/>
                <w:sz w:val="22"/>
              </w:rPr>
              <w:t>Miss</w:t>
            </w:r>
          </w:p>
        </w:tc>
        <w:tc>
          <w:tcPr>
            <w:tcW w:type="dxa" w:w="1080"/>
          </w:tcPr>
          <w:p>
            <w:r>
              <w:rPr>
                <w:rFonts w:ascii="Calibri" w:hAnsi="Calibri"/>
                <w:sz w:val="22"/>
              </w:rPr>
              <w:t>1.1%</w:t>
            </w:r>
          </w:p>
        </w:tc>
        <w:tc>
          <w:tcPr>
            <w:tcW w:type="dxa" w:w="1080"/>
          </w:tcPr>
          <w:p>
            <w:r>
              <w:rPr>
                <w:rFonts w:ascii="Calibri" w:hAnsi="Calibri"/>
                <w:sz w:val="22"/>
              </w:rPr>
              <w:t>2.55%</w:t>
            </w:r>
          </w:p>
        </w:tc>
        <w:tc>
          <w:tcPr>
            <w:tcW w:type="dxa" w:w="1080"/>
          </w:tcPr>
          <w:p>
            <w:r>
              <w:rPr>
                <w:rFonts w:ascii="Calibri" w:hAnsi="Calibri"/>
                <w:b/>
                <w:color w:val="E5484D"/>
                <w:sz w:val="22"/>
              </w:rPr>
              <w:t>-145 bps</w:t>
            </w:r>
          </w:p>
        </w:tc>
      </w:tr>
      <w:tr>
        <w:tc>
          <w:tcPr>
            <w:tcW w:type="dxa" w:w="1080"/>
          </w:tcPr>
          <w:p>
            <w:r>
              <w:rPr>
                <w:rFonts w:ascii="Calibri" w:hAnsi="Calibri"/>
                <w:sz w:val="22"/>
              </w:rPr>
              <w:t>Q2 2025</w:t>
            </w:r>
          </w:p>
        </w:tc>
        <w:tc>
          <w:tcPr>
            <w:tcW w:type="dxa" w:w="1080"/>
          </w:tcPr>
          <w:p>
            <w:r>
              <w:rPr>
                <w:rFonts w:ascii="Calibri" w:hAnsi="Calibri"/>
                <w:sz w:val="22"/>
              </w:rPr>
              <w:t>$2.82</w:t>
            </w:r>
          </w:p>
        </w:tc>
        <w:tc>
          <w:tcPr>
            <w:tcW w:type="dxa" w:w="1080"/>
          </w:tcPr>
          <w:p>
            <w:r>
              <w:rPr>
                <w:rFonts w:ascii="Calibri" w:hAnsi="Calibri"/>
                <w:sz w:val="22"/>
              </w:rPr>
              <w:t>$2.81</w:t>
            </w:r>
          </w:p>
        </w:tc>
        <w:tc>
          <w:tcPr>
            <w:tcW w:type="dxa" w:w="1080"/>
          </w:tcPr>
          <w:p>
            <w:r>
              <w:rPr>
                <w:rFonts w:ascii="Calibri" w:hAnsi="Calibri"/>
                <w:b/>
                <w:color w:val="30A46C"/>
                <w:sz w:val="22"/>
              </w:rPr>
              <w:t>+0.4%</w:t>
            </w:r>
          </w:p>
        </w:tc>
        <w:tc>
          <w:tcPr>
            <w:tcW w:type="dxa" w:w="1080"/>
          </w:tcPr>
          <w:p>
            <w:r>
              <w:rPr>
                <w:rFonts w:ascii="Calibri" w:hAnsi="Calibri"/>
                <w:b/>
                <w:color w:val="30A46C"/>
                <w:sz w:val="22"/>
              </w:rPr>
              <w:t>Beat</w:t>
            </w:r>
          </w:p>
        </w:tc>
        <w:tc>
          <w:tcPr>
            <w:tcW w:type="dxa" w:w="1080"/>
          </w:tcPr>
          <w:p>
            <w:r>
              <w:rPr>
                <w:rFonts w:ascii="Calibri" w:hAnsi="Calibri"/>
                <w:sz w:val="22"/>
              </w:rPr>
              <w:t>2.7%</w:t>
            </w:r>
          </w:p>
        </w:tc>
        <w:tc>
          <w:tcPr>
            <w:tcW w:type="dxa" w:w="1080"/>
          </w:tcPr>
          <w:p>
            <w:r>
              <w:rPr>
                <w:rFonts w:ascii="Calibri" w:hAnsi="Calibri"/>
                <w:sz w:val="22"/>
              </w:rPr>
              <w:t>1.59%</w:t>
            </w:r>
          </w:p>
        </w:tc>
        <w:tc>
          <w:tcPr>
            <w:tcW w:type="dxa" w:w="1080"/>
          </w:tcPr>
          <w:p>
            <w:r>
              <w:rPr>
                <w:rFonts w:ascii="Calibri" w:hAnsi="Calibri"/>
                <w:b/>
                <w:color w:val="30A46C"/>
                <w:sz w:val="22"/>
              </w:rPr>
              <w:t>+111 bps</w:t>
            </w:r>
          </w:p>
        </w:tc>
      </w:tr>
      <w:tr>
        <w:tc>
          <w:tcPr>
            <w:tcW w:type="dxa" w:w="1080"/>
          </w:tcPr>
          <w:p>
            <w:r>
              <w:rPr>
                <w:rFonts w:ascii="Calibri" w:hAnsi="Calibri"/>
                <w:sz w:val="22"/>
              </w:rPr>
              <w:t>Q1 2025</w:t>
            </w:r>
          </w:p>
        </w:tc>
        <w:tc>
          <w:tcPr>
            <w:tcW w:type="dxa" w:w="1080"/>
          </w:tcPr>
          <w:p>
            <w:r>
              <w:rPr>
                <w:rFonts w:ascii="Calibri" w:hAnsi="Calibri"/>
                <w:sz w:val="22"/>
              </w:rPr>
              <w:t>$2.83</w:t>
            </w:r>
          </w:p>
        </w:tc>
        <w:tc>
          <w:tcPr>
            <w:tcW w:type="dxa" w:w="1080"/>
          </w:tcPr>
          <w:p>
            <w:r>
              <w:rPr>
                <w:rFonts w:ascii="Calibri" w:hAnsi="Calibri"/>
                <w:sz w:val="22"/>
              </w:rPr>
              <w:t>$2.81</w:t>
            </w:r>
          </w:p>
        </w:tc>
        <w:tc>
          <w:tcPr>
            <w:tcW w:type="dxa" w:w="1080"/>
          </w:tcPr>
          <w:p>
            <w:r>
              <w:rPr>
                <w:rFonts w:ascii="Calibri" w:hAnsi="Calibri"/>
                <w:b/>
                <w:color w:val="30A46C"/>
                <w:sz w:val="22"/>
              </w:rPr>
              <w:t>+0.7%</w:t>
            </w:r>
          </w:p>
        </w:tc>
        <w:tc>
          <w:tcPr>
            <w:tcW w:type="dxa" w:w="1080"/>
          </w:tcPr>
          <w:p>
            <w:r>
              <w:rPr>
                <w:rFonts w:ascii="Calibri" w:hAnsi="Calibri"/>
                <w:b/>
                <w:color w:val="30A46C"/>
                <w:sz w:val="22"/>
              </w:rPr>
              <w:t>Beat</w:t>
            </w:r>
          </w:p>
        </w:tc>
        <w:tc>
          <w:tcPr>
            <w:tcW w:type="dxa" w:w="1080"/>
          </w:tcPr>
          <w:p>
            <w:r>
              <w:rPr>
                <w:rFonts w:ascii="Calibri" w:hAnsi="Calibri"/>
                <w:sz w:val="22"/>
              </w:rPr>
              <w:t>2.6%</w:t>
            </w:r>
          </w:p>
        </w:tc>
        <w:tc>
          <w:tcPr>
            <w:tcW w:type="dxa" w:w="1080"/>
          </w:tcPr>
          <w:p>
            <w:r>
              <w:rPr>
                <w:rFonts w:ascii="Calibri" w:hAnsi="Calibri"/>
                <w:sz w:val="22"/>
              </w:rPr>
              <w:t>2.33%</w:t>
            </w:r>
          </w:p>
        </w:tc>
        <w:tc>
          <w:tcPr>
            <w:tcW w:type="dxa" w:w="1080"/>
          </w:tcPr>
          <w:p>
            <w:r>
              <w:rPr>
                <w:rFonts w:ascii="Calibri" w:hAnsi="Calibri"/>
                <w:b/>
                <w:color w:val="30A46C"/>
                <w:sz w:val="22"/>
              </w:rPr>
              <w:t>+27 bps</w:t>
            </w:r>
          </w:p>
        </w:tc>
      </w:tr>
      <w:tr>
        <w:tc>
          <w:tcPr>
            <w:tcW w:type="dxa" w:w="1080"/>
          </w:tcPr>
          <w:p>
            <w:r>
              <w:rPr>
                <w:rFonts w:ascii="Calibri" w:hAnsi="Calibri"/>
                <w:sz w:val="22"/>
              </w:rPr>
              <w:t>Q4 2024</w:t>
            </w:r>
          </w:p>
        </w:tc>
        <w:tc>
          <w:tcPr>
            <w:tcW w:type="dxa" w:w="1080"/>
          </w:tcPr>
          <w:p>
            <w:r>
              <w:rPr>
                <w:rFonts w:ascii="Calibri" w:hAnsi="Calibri"/>
                <w:sz w:val="22"/>
              </w:rPr>
              <w:t>$2.80</w:t>
            </w:r>
          </w:p>
        </w:tc>
        <w:tc>
          <w:tcPr>
            <w:tcW w:type="dxa" w:w="1080"/>
          </w:tcPr>
          <w:p>
            <w:r>
              <w:rPr>
                <w:rFonts w:ascii="Calibri" w:hAnsi="Calibri"/>
                <w:sz w:val="22"/>
              </w:rPr>
              <w:t>$2.84</w:t>
            </w:r>
          </w:p>
        </w:tc>
        <w:tc>
          <w:tcPr>
            <w:tcW w:type="dxa" w:w="1080"/>
          </w:tcPr>
          <w:p>
            <w:r>
              <w:rPr>
                <w:rFonts w:ascii="Calibri" w:hAnsi="Calibri"/>
                <w:b/>
                <w:color w:val="E5484D"/>
                <w:sz w:val="22"/>
              </w:rPr>
              <w:t>-1.4%</w:t>
            </w:r>
          </w:p>
        </w:tc>
        <w:tc>
          <w:tcPr>
            <w:tcW w:type="dxa" w:w="1080"/>
          </w:tcPr>
          <w:p>
            <w:r>
              <w:rPr>
                <w:rFonts w:ascii="Calibri" w:hAnsi="Calibri"/>
                <w:b/>
                <w:color w:val="E5484D"/>
                <w:sz w:val="22"/>
              </w:rPr>
              <w:t>Miss</w:t>
            </w:r>
          </w:p>
        </w:tc>
        <w:tc>
          <w:tcPr>
            <w:tcW w:type="dxa" w:w="1080"/>
          </w:tcPr>
          <w:p>
            <w:r>
              <w:rPr>
                <w:rFonts w:ascii="Calibri" w:hAnsi="Calibri"/>
                <w:sz w:val="22"/>
              </w:rPr>
              <w:t>2.3%</w:t>
            </w:r>
          </w:p>
        </w:tc>
        <w:tc>
          <w:tcPr>
            <w:tcW w:type="dxa" w:w="1080"/>
          </w:tcPr>
          <w:p>
            <w:r>
              <w:rPr>
                <w:rFonts w:ascii="Calibri" w:hAnsi="Calibri"/>
                <w:sz w:val="22"/>
              </w:rPr>
              <w:t>3.18%</w:t>
            </w:r>
          </w:p>
        </w:tc>
        <w:tc>
          <w:tcPr>
            <w:tcW w:type="dxa" w:w="1080"/>
          </w:tcPr>
          <w:p>
            <w:r>
              <w:rPr>
                <w:rFonts w:ascii="Calibri" w:hAnsi="Calibri"/>
                <w:b/>
                <w:color w:val="E5484D"/>
                <w:sz w:val="22"/>
              </w:rPr>
              <w:t>-88 bps</w:t>
            </w:r>
          </w:p>
        </w:tc>
      </w:tr>
      <w:tr>
        <w:tc>
          <w:tcPr>
            <w:tcW w:type="dxa" w:w="1080"/>
          </w:tcPr>
          <w:p>
            <w:r>
              <w:rPr>
                <w:rFonts w:ascii="Calibri" w:hAnsi="Calibri"/>
                <w:sz w:val="22"/>
              </w:rPr>
              <w:t>Q3 2024</w:t>
            </w:r>
          </w:p>
        </w:tc>
        <w:tc>
          <w:tcPr>
            <w:tcW w:type="dxa" w:w="1080"/>
          </w:tcPr>
          <w:p>
            <w:r>
              <w:rPr>
                <w:rFonts w:ascii="Calibri" w:hAnsi="Calibri"/>
                <w:sz w:val="22"/>
              </w:rPr>
              <w:t>$2.74</w:t>
            </w:r>
          </w:p>
        </w:tc>
        <w:tc>
          <w:tcPr>
            <w:tcW w:type="dxa" w:w="1080"/>
          </w:tcPr>
          <w:p>
            <w:r>
              <w:rPr>
                <w:rFonts w:ascii="Calibri" w:hAnsi="Calibri"/>
                <w:sz w:val="22"/>
              </w:rPr>
              <w:t>$2.73</w:t>
            </w:r>
          </w:p>
        </w:tc>
        <w:tc>
          <w:tcPr>
            <w:tcW w:type="dxa" w:w="1080"/>
          </w:tcPr>
          <w:p>
            <w:r>
              <w:rPr>
                <w:rFonts w:ascii="Calibri" w:hAnsi="Calibri"/>
                <w:b/>
                <w:color w:val="30A46C"/>
                <w:sz w:val="22"/>
              </w:rPr>
              <w:t>+0.4%</w:t>
            </w:r>
          </w:p>
        </w:tc>
        <w:tc>
          <w:tcPr>
            <w:tcW w:type="dxa" w:w="1080"/>
          </w:tcPr>
          <w:p>
            <w:r>
              <w:rPr>
                <w:rFonts w:ascii="Calibri" w:hAnsi="Calibri"/>
                <w:b/>
                <w:color w:val="30A46C"/>
                <w:sz w:val="22"/>
              </w:rPr>
              <w:t>Beat</w:t>
            </w:r>
          </w:p>
        </w:tc>
        <w:tc>
          <w:tcPr>
            <w:tcW w:type="dxa" w:w="1080"/>
          </w:tcPr>
          <w:p>
            <w:r>
              <w:rPr>
                <w:rFonts w:ascii="Calibri" w:hAnsi="Calibri"/>
                <w:sz w:val="22"/>
              </w:rPr>
              <w:t>2.0%</w:t>
            </w:r>
          </w:p>
        </w:tc>
        <w:tc>
          <w:tcPr>
            <w:tcW w:type="dxa" w:w="1080"/>
          </w:tcPr>
          <w:p>
            <w:r>
              <w:rPr>
                <w:rFonts w:ascii="Calibri" w:hAnsi="Calibri"/>
                <w:sz w:val="22"/>
              </w:rPr>
              <w:t>2.24%</w:t>
            </w:r>
          </w:p>
        </w:tc>
        <w:tc>
          <w:tcPr>
            <w:tcW w:type="dxa" w:w="1080"/>
          </w:tcPr>
          <w:p>
            <w:r>
              <w:rPr>
                <w:rFonts w:ascii="Calibri" w:hAnsi="Calibri"/>
                <w:b/>
                <w:color w:val="E5484D"/>
                <w:sz w:val="22"/>
              </w:rPr>
              <w:t>-24 bps</w:t>
            </w:r>
          </w:p>
        </w:tc>
      </w:tr>
      <w:tr>
        <w:tc>
          <w:tcPr>
            <w:tcW w:type="dxa" w:w="1080"/>
          </w:tcPr>
          <w:p>
            <w:r>
              <w:rPr>
                <w:rFonts w:ascii="Calibri" w:hAnsi="Calibri"/>
                <w:sz w:val="22"/>
              </w:rPr>
              <w:t>Q2 2024</w:t>
            </w:r>
          </w:p>
        </w:tc>
        <w:tc>
          <w:tcPr>
            <w:tcW w:type="dxa" w:w="1080"/>
          </w:tcPr>
          <w:p>
            <w:r>
              <w:rPr>
                <w:rFonts w:ascii="Calibri" w:hAnsi="Calibri"/>
                <w:sz w:val="22"/>
              </w:rPr>
              <w:t>$2.77</w:t>
            </w:r>
          </w:p>
        </w:tc>
        <w:tc>
          <w:tcPr>
            <w:tcW w:type="dxa" w:w="1080"/>
          </w:tcPr>
          <w:p>
            <w:r>
              <w:rPr>
                <w:rFonts w:ascii="Calibri" w:hAnsi="Calibri"/>
                <w:sz w:val="22"/>
              </w:rPr>
              <w:t>$2.72</w:t>
            </w:r>
          </w:p>
        </w:tc>
        <w:tc>
          <w:tcPr>
            <w:tcW w:type="dxa" w:w="1080"/>
          </w:tcPr>
          <w:p>
            <w:r>
              <w:rPr>
                <w:rFonts w:ascii="Calibri" w:hAnsi="Calibri"/>
                <w:b/>
                <w:color w:val="30A46C"/>
                <w:sz w:val="22"/>
              </w:rPr>
              <w:t>+1.8%</w:t>
            </w:r>
          </w:p>
        </w:tc>
        <w:tc>
          <w:tcPr>
            <w:tcW w:type="dxa" w:w="1080"/>
          </w:tcPr>
          <w:p>
            <w:r>
              <w:rPr>
                <w:rFonts w:ascii="Calibri" w:hAnsi="Calibri"/>
                <w:b/>
                <w:color w:val="30A46C"/>
                <w:sz w:val="22"/>
              </w:rPr>
              <w:t>Beat</w:t>
            </w:r>
          </w:p>
        </w:tc>
        <w:tc>
          <w:tcPr>
            <w:tcW w:type="dxa" w:w="1080"/>
          </w:tcPr>
          <w:p>
            <w:r>
              <w:rPr>
                <w:rFonts w:ascii="Calibri" w:hAnsi="Calibri"/>
                <w:sz w:val="22"/>
              </w:rPr>
              <w:t>3.0%</w:t>
            </w:r>
          </w:p>
        </w:tc>
        <w:tc>
          <w:tcPr>
            <w:tcW w:type="dxa" w:w="1080"/>
          </w:tcPr>
          <w:p>
            <w:r>
              <w:rPr>
                <w:rFonts w:ascii="Calibri" w:hAnsi="Calibri"/>
                <w:sz w:val="22"/>
              </w:rPr>
              <w:t>2.03%</w:t>
            </w:r>
          </w:p>
        </w:tc>
        <w:tc>
          <w:tcPr>
            <w:tcW w:type="dxa" w:w="1080"/>
          </w:tcPr>
          <w:p>
            <w:r>
              <w:rPr>
                <w:rFonts w:ascii="Calibri" w:hAnsi="Calibri"/>
                <w:b/>
                <w:color w:val="30A46C"/>
                <w:sz w:val="22"/>
              </w:rPr>
              <w:t>+97 bps</w:t>
            </w:r>
          </w:p>
        </w:tc>
      </w:tr>
    </w:tbl>
    <w:p>
      <w:r>
        <w:rPr>
          <w:rFonts w:ascii="Calibri" w:hAnsi="Calibri"/>
          <w:i/>
          <w:color w:val="525866"/>
          <w:sz w:val="22"/>
        </w:rPr>
        <w:t xml:space="preserve">Source: Visible Alpha consensus and actuals data. </w:t>
      </w:r>
      <w:r>
        <w:rPr>
          <w:rFonts w:ascii="Calibri" w:hAnsi="Calibri"/>
          <w:i/>
          <w:color w:val="525866"/>
          <w:sz w:val="22"/>
        </w:rPr>
        <w:t>AVB has beaten Core FFO consensus in 6 of the last 8 quarters; same-store NOI has been more volatile, with misses concentrated in Q3–Q4 2024 and Q3–Q4 2025 when expense growth surprised to the upside.</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Full-year Core FFO guidance was affirmed (not raised) at Q1 despite a $0.05 beat, with management explicitly flagging that 80% of the Q1 outperformance was deferred expenses expected to hit in Q2–Q4; the Q2 call is the first opportunity to raise guidance after seeing peak leasing season results, and the merger announcement has not changed standalone guidance.</w:t>
      </w:r>
    </w:p>
    <w:p>
      <w:r>
        <w:rPr>
          <w:rFonts w:ascii="Calibri" w:hAnsi="Calibri"/>
          <w:i/>
          <w:color w:val="525866"/>
          <w:sz w:val="22"/>
        </w:rPr>
        <w:t>Baseline: Q1 2026 Earnings Call (April 27, 2026). Revised Guidance column is blank where no post-earnings event changed the number.</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Apr 27)</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Core FFO per Share</w:t>
            </w:r>
          </w:p>
        </w:tc>
        <w:tc>
          <w:tcPr>
            <w:tcW w:type="dxa" w:w="1728"/>
          </w:tcPr>
          <w:p>
            <w:r>
              <w:rPr>
                <w:rFonts w:ascii="Calibri" w:hAnsi="Calibri"/>
                <w:sz w:val="22"/>
              </w:rPr>
              <w:t>$2.72–$2.82 (mid $2.77)</w:t>
            </w:r>
          </w:p>
        </w:tc>
        <w:tc>
          <w:tcPr>
            <w:tcW w:type="dxa" w:w="1728"/>
          </w:tcPr>
          <w:p>
            <w:r>
              <w:rPr>
                <w:rFonts w:ascii="Calibri" w:hAnsi="Calibri"/>
                <w:sz w:val="22"/>
              </w:rPr>
              <w:t>—</w:t>
            </w:r>
          </w:p>
        </w:tc>
        <w:tc>
          <w:tcPr>
            <w:tcW w:type="dxa" w:w="1728"/>
          </w:tcPr>
          <w:p>
            <w:r>
              <w:rPr>
                <w:rFonts w:ascii="Calibri" w:hAnsi="Calibri"/>
                <w:sz w:val="22"/>
              </w:rPr>
              <w:t>$2.81</w:t>
            </w:r>
          </w:p>
        </w:tc>
        <w:tc>
          <w:tcPr>
            <w:tcW w:type="dxa" w:w="1728"/>
          </w:tcPr>
          <w:p>
            <w:r>
              <w:rPr>
                <w:rFonts w:ascii="Calibri" w:hAnsi="Calibri"/>
                <w:sz w:val="22"/>
              </w:rPr>
              <w:t>Guidance provided at Q1 earnings; consensus sits $0.04 above midpoint</w:t>
            </w:r>
          </w:p>
        </w:tc>
      </w:tr>
      <w:tr>
        <w:tc>
          <w:tcPr>
            <w:tcW w:type="dxa" w:w="1728"/>
          </w:tcPr>
          <w:p>
            <w:r>
              <w:rPr>
                <w:rFonts w:ascii="Calibri" w:hAnsi="Calibri"/>
                <w:sz w:val="22"/>
              </w:rPr>
              <w:t>Full Year 2026 Core FFO per Share</w:t>
            </w:r>
          </w:p>
        </w:tc>
        <w:tc>
          <w:tcPr>
            <w:tcW w:type="dxa" w:w="1728"/>
          </w:tcPr>
          <w:p>
            <w:r>
              <w:rPr>
                <w:rFonts w:ascii="Calibri" w:hAnsi="Calibri"/>
                <w:sz w:val="22"/>
              </w:rPr>
              <w:t>Affirmed Feb 2026 guidance (unchanged)</w:t>
            </w:r>
          </w:p>
        </w:tc>
        <w:tc>
          <w:tcPr>
            <w:tcW w:type="dxa" w:w="1728"/>
          </w:tcPr>
          <w:p>
            <w:r>
              <w:rPr>
                <w:rFonts w:ascii="Calibri" w:hAnsi="Calibri"/>
                <w:sz w:val="22"/>
              </w:rPr>
              <w:t>—</w:t>
            </w:r>
          </w:p>
        </w:tc>
        <w:tc>
          <w:tcPr>
            <w:tcW w:type="dxa" w:w="1728"/>
          </w:tcPr>
          <w:p>
            <w:r>
              <w:rPr>
                <w:rFonts w:ascii="Calibri" w:hAnsi="Calibri"/>
                <w:sz w:val="22"/>
              </w:rPr>
              <w:t>$11.33</w:t>
            </w:r>
          </w:p>
        </w:tc>
        <w:tc>
          <w:tcPr>
            <w:tcW w:type="dxa" w:w="1728"/>
          </w:tcPr>
          <w:p>
            <w:r>
              <w:rPr>
                <w:rFonts w:ascii="Calibri" w:hAnsi="Calibri"/>
                <w:sz w:val="22"/>
              </w:rPr>
              <w:t>Management affirmed rather than raised despite Q1 beat; cited desire to see peak leasing season first</w:t>
            </w:r>
          </w:p>
        </w:tc>
      </w:tr>
      <w:tr>
        <w:tc>
          <w:tcPr>
            <w:tcW w:type="dxa" w:w="1728"/>
          </w:tcPr>
          <w:p>
            <w:r>
              <w:rPr>
                <w:rFonts w:ascii="Calibri" w:hAnsi="Calibri"/>
                <w:sz w:val="22"/>
              </w:rPr>
              <w:t>Full Year 2026 Same-Store Revenue Growth</w:t>
            </w:r>
          </w:p>
        </w:tc>
        <w:tc>
          <w:tcPr>
            <w:tcW w:type="dxa" w:w="1728"/>
          </w:tcPr>
          <w:p>
            <w:r>
              <w:rPr>
                <w:rFonts w:ascii="Calibri" w:hAnsi="Calibri"/>
                <w:sz w:val="22"/>
              </w:rPr>
              <w:t>~2.5% (implied from 2% avg rent change guidance)</w:t>
            </w:r>
          </w:p>
        </w:tc>
        <w:tc>
          <w:tcPr>
            <w:tcW w:type="dxa" w:w="1728"/>
          </w:tcPr>
          <w:p>
            <w:r>
              <w:rPr>
                <w:rFonts w:ascii="Calibri" w:hAnsi="Calibri"/>
                <w:sz w:val="22"/>
              </w:rPr>
              <w:t>—</w:t>
            </w:r>
          </w:p>
        </w:tc>
        <w:tc>
          <w:tcPr>
            <w:tcW w:type="dxa" w:w="1728"/>
          </w:tcPr>
          <w:p>
            <w:r>
              <w:rPr>
                <w:rFonts w:ascii="Calibri" w:hAnsi="Calibri"/>
                <w:sz w:val="22"/>
              </w:rPr>
              <w:t>1.65%</w:t>
            </w:r>
          </w:p>
        </w:tc>
        <w:tc>
          <w:tcPr>
            <w:tcW w:type="dxa" w:w="1728"/>
          </w:tcPr>
          <w:p>
            <w:r>
              <w:rPr>
                <w:rFonts w:ascii="Calibri" w:hAnsi="Calibri"/>
                <w:sz w:val="22"/>
              </w:rPr>
              <w:t>Consensus tracking ~85 bps below management’s implied revenue trajectory</w:t>
            </w:r>
          </w:p>
        </w:tc>
      </w:tr>
      <w:tr>
        <w:tc>
          <w:tcPr>
            <w:tcW w:type="dxa" w:w="1728"/>
          </w:tcPr>
          <w:p>
            <w:r>
              <w:rPr>
                <w:rFonts w:ascii="Calibri" w:hAnsi="Calibri"/>
                <w:sz w:val="22"/>
              </w:rPr>
              <w:t>Full Year 2026 Same-Store NOI Growth</w:t>
            </w:r>
          </w:p>
        </w:tc>
        <w:tc>
          <w:tcPr>
            <w:tcW w:type="dxa" w:w="1728"/>
          </w:tcPr>
          <w:p>
            <w:r>
              <w:rPr>
                <w:rFonts w:ascii="Calibri" w:hAnsi="Calibri"/>
                <w:sz w:val="22"/>
              </w:rPr>
              <w:t>~0.5% (implied)</w:t>
            </w:r>
          </w:p>
        </w:tc>
        <w:tc>
          <w:tcPr>
            <w:tcW w:type="dxa" w:w="1728"/>
          </w:tcPr>
          <w:p>
            <w:r>
              <w:rPr>
                <w:rFonts w:ascii="Calibri" w:hAnsi="Calibri"/>
                <w:sz w:val="22"/>
              </w:rPr>
              <w:t>—</w:t>
            </w:r>
          </w:p>
        </w:tc>
        <w:tc>
          <w:tcPr>
            <w:tcW w:type="dxa" w:w="1728"/>
          </w:tcPr>
          <w:p>
            <w:r>
              <w:rPr>
                <w:rFonts w:ascii="Calibri" w:hAnsi="Calibri"/>
                <w:sz w:val="22"/>
              </w:rPr>
              <w:t>0.54%</w:t>
            </w:r>
          </w:p>
        </w:tc>
        <w:tc>
          <w:tcPr>
            <w:tcW w:type="dxa" w:w="1728"/>
          </w:tcPr>
          <w:p>
            <w:r>
              <w:rPr>
                <w:rFonts w:ascii="Calibri" w:hAnsi="Calibri"/>
                <w:sz w:val="22"/>
              </w:rPr>
              <w:t>Consensus roughly in line with implied guidance</w:t>
            </w:r>
          </w:p>
        </w:tc>
      </w:tr>
      <w:tr>
        <w:tc>
          <w:tcPr>
            <w:tcW w:type="dxa" w:w="1728"/>
          </w:tcPr>
          <w:p>
            <w:r>
              <w:rPr>
                <w:rFonts w:ascii="Calibri" w:hAnsi="Calibri"/>
                <w:sz w:val="22"/>
              </w:rPr>
              <w:t>H1 2026 Blended Rent Change</w:t>
            </w:r>
          </w:p>
        </w:tc>
        <w:tc>
          <w:tcPr>
            <w:tcW w:type="dxa" w:w="1728"/>
          </w:tcPr>
          <w:p>
            <w:r>
              <w:rPr>
                <w:rFonts w:ascii="Calibri" w:hAnsi="Calibri"/>
                <w:sz w:val="22"/>
              </w:rPr>
              <w:t>1.25%</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April tracking at “high 1% range, almost 2%” per management; on track</w:t>
            </w:r>
          </w:p>
        </w:tc>
      </w:tr>
      <w:tr>
        <w:tc>
          <w:tcPr>
            <w:tcW w:type="dxa" w:w="1728"/>
          </w:tcPr>
          <w:p>
            <w:r>
              <w:rPr>
                <w:rFonts w:ascii="Calibri" w:hAnsi="Calibri"/>
                <w:sz w:val="22"/>
              </w:rPr>
              <w:t>H2 2026 Blended Rent Change</w:t>
            </w:r>
          </w:p>
        </w:tc>
        <w:tc>
          <w:tcPr>
            <w:tcW w:type="dxa" w:w="1728"/>
          </w:tcPr>
          <w:p>
            <w:r>
              <w:rPr>
                <w:rFonts w:ascii="Calibri" w:hAnsi="Calibri"/>
                <w:sz w:val="22"/>
              </w:rPr>
              <w:t>2.5%</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Requires acceleration from H1; driven by lower supply comps and softer prior-year comparisons</w:t>
            </w:r>
          </w:p>
        </w:tc>
      </w:tr>
      <w:tr>
        <w:tc>
          <w:tcPr>
            <w:tcW w:type="dxa" w:w="1728"/>
          </w:tcPr>
          <w:p>
            <w:r>
              <w:rPr>
                <w:rFonts w:ascii="Calibri" w:hAnsi="Calibri"/>
                <w:sz w:val="22"/>
              </w:rPr>
              <w:t>2026 Development NOI</w:t>
            </w:r>
          </w:p>
        </w:tc>
        <w:tc>
          <w:tcPr>
            <w:tcW w:type="dxa" w:w="1728"/>
          </w:tcPr>
          <w:p>
            <w:r>
              <w:rPr>
                <w:rFonts w:ascii="Calibri" w:hAnsi="Calibri"/>
                <w:sz w:val="22"/>
              </w:rPr>
              <w:t>$47M (ramping to $120M in 2027)</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Strong lease-up velocity (32 units/month vs. 23 historical); rents slightly above pro forma</w:t>
            </w:r>
          </w:p>
        </w:tc>
      </w:tr>
    </w:tbl>
    <w:p>
      <w:r>
        <w:rPr>
          <w:rFonts w:ascii="Calibri" w:hAnsi="Calibri"/>
          <w:b/>
          <w:color w:val="525866"/>
          <w:sz w:val="22"/>
        </w:rPr>
        <w:t xml:space="preserve">Note: </w:t>
      </w:r>
      <w:r>
        <w:rPr>
          <w:rFonts w:ascii="Calibri" w:hAnsi="Calibri"/>
          <w:color w:val="525866"/>
          <w:sz w:val="22"/>
        </w:rPr>
        <w:t>The merger announcement on May 21 has not changed standalone guidance. Both companies intend to maintain regular quarterly dividends through closing. The Q2 call will be the first post-merger-announcement earnings call and will likely focus heavily on deal timeline, integration planning, and whether standalone guidance remains the right framework.</w:t>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Core FFO estimates for Q2 2026 have been essentially flat since Q1 earnings (-0.2%), while full-year estimates have ticked down slightly (-0.3%), confirming the Street is in a holding pattern waiting for peak leasing season data and merger clarity; the modest improvement in Q2 same-store NOI consensus (from -0.60% to -0.03%) may reflect early optimism from peer commentary pointing to accelerating April blended rates.</w:t>
      </w:r>
    </w:p>
    <w:tbl>
      <w:tblPr>
        <w:tblStyle w:val="TableGrid"/>
        <w:tblW w:type="auto" w:w="0"/>
        <w:tblLook w:firstColumn="1" w:firstRow="1" w:lastColumn="0" w:lastRow="0" w:noHBand="0" w:noVBand="1" w:val="04A0"/>
      </w:tblPr>
      <w:tblGrid>
        <w:gridCol w:w="960"/>
        <w:gridCol w:w="960"/>
        <w:gridCol w:w="960"/>
        <w:gridCol w:w="960"/>
        <w:gridCol w:w="960"/>
        <w:gridCol w:w="960"/>
        <w:gridCol w:w="960"/>
        <w:gridCol w:w="960"/>
        <w:gridCol w:w="960"/>
      </w:tblGrid>
      <w:tr>
        <w:tc>
          <w:tcPr>
            <w:tcW w:type="dxa" w:w="960"/>
            <w:shd w:val="clear" w:color="auto" w:fill="3B4259"/>
          </w:tcPr>
          <w:p>
            <w:r>
              <w:rPr>
                <w:rFonts w:ascii="Calibri" w:hAnsi="Calibri"/>
                <w:b/>
                <w:color w:val="FFFFFF"/>
                <w:sz w:val="22"/>
              </w:rPr>
              <w:t>KPI</w:t>
            </w:r>
          </w:p>
        </w:tc>
        <w:tc>
          <w:tcPr>
            <w:tcW w:type="dxa" w:w="960"/>
            <w:shd w:val="clear" w:color="auto" w:fill="3B4259"/>
          </w:tcPr>
          <w:p>
            <w:r>
              <w:rPr>
                <w:rFonts w:ascii="Calibri" w:hAnsi="Calibri"/>
                <w:b/>
                <w:color w:val="FFFFFF"/>
                <w:sz w:val="22"/>
              </w:rPr>
              <w:t>Period</w:t>
            </w:r>
          </w:p>
        </w:tc>
        <w:tc>
          <w:tcPr>
            <w:tcW w:type="dxa" w:w="960"/>
            <w:shd w:val="clear" w:color="auto" w:fill="3B4259"/>
          </w:tcPr>
          <w:p>
            <w:r>
              <w:rPr>
                <w:rFonts w:ascii="Calibri" w:hAnsi="Calibri"/>
                <w:b/>
                <w:color w:val="FFFFFF"/>
                <w:sz w:val="22"/>
              </w:rPr>
              <w:t>Estimate (~May 2, 5 Days Post Q1 Earnings)</w:t>
            </w:r>
          </w:p>
        </w:tc>
        <w:tc>
          <w:tcPr>
            <w:tcW w:type="dxa" w:w="960"/>
            <w:shd w:val="clear" w:color="auto" w:fill="3B4259"/>
          </w:tcPr>
          <w:p>
            <w:r>
              <w:rPr>
                <w:rFonts w:ascii="Calibri" w:hAnsi="Calibri"/>
                <w:b/>
                <w:color w:val="FFFFFF"/>
                <w:sz w:val="22"/>
              </w:rPr>
              <w:t>Current Consensus</w:t>
            </w:r>
          </w:p>
        </w:tc>
        <w:tc>
          <w:tcPr>
            <w:tcW w:type="dxa" w:w="960"/>
            <w:shd w:val="clear" w:color="auto" w:fill="3B4259"/>
          </w:tcPr>
          <w:p>
            <w:r>
              <w:rPr>
                <w:rFonts w:ascii="Calibri" w:hAnsi="Calibri"/>
                <w:b/>
                <w:color w:val="FFFFFF"/>
                <w:sz w:val="22"/>
              </w:rPr>
              <w:t>Estimate Δ (%)</w:t>
            </w:r>
          </w:p>
        </w:tc>
        <w:tc>
          <w:tcPr>
            <w:tcW w:type="dxa" w:w="960"/>
            <w:shd w:val="clear" w:color="auto" w:fill="3B4259"/>
          </w:tcPr>
          <w:p>
            <w:r>
              <w:rPr>
                <w:rFonts w:ascii="Calibri" w:hAnsi="Calibri"/>
                <w:b/>
                <w:color w:val="FFFFFF"/>
                <w:sz w:val="22"/>
              </w:rPr>
              <w:t>Initial Guidance (Q1 Call)</w:t>
            </w:r>
          </w:p>
        </w:tc>
        <w:tc>
          <w:tcPr>
            <w:tcW w:type="dxa" w:w="960"/>
            <w:shd w:val="clear" w:color="auto" w:fill="3B4259"/>
          </w:tcPr>
          <w:p>
            <w:r>
              <w:rPr>
                <w:rFonts w:ascii="Calibri" w:hAnsi="Calibri"/>
                <w:b/>
                <w:color w:val="FFFFFF"/>
                <w:sz w:val="22"/>
              </w:rPr>
              <w:t>Current Guidance</w:t>
            </w:r>
          </w:p>
        </w:tc>
        <w:tc>
          <w:tcPr>
            <w:tcW w:type="dxa" w:w="960"/>
            <w:shd w:val="clear" w:color="auto" w:fill="3B4259"/>
          </w:tcPr>
          <w:p>
            <w:r>
              <w:rPr>
                <w:rFonts w:ascii="Calibri" w:hAnsi="Calibri"/>
                <w:b/>
                <w:color w:val="FFFFFF"/>
                <w:sz w:val="22"/>
              </w:rPr>
              <w:t>Guidance Δ</w:t>
            </w:r>
          </w:p>
        </w:tc>
        <w:tc>
          <w:tcPr>
            <w:tcW w:type="dxa" w:w="960"/>
            <w:shd w:val="clear" w:color="auto" w:fill="3B4259"/>
          </w:tcPr>
          <w:p>
            <w:r>
              <w:rPr>
                <w:rFonts w:ascii="Calibri" w:hAnsi="Calibri"/>
                <w:b/>
                <w:color w:val="FFFFFF"/>
                <w:sz w:val="22"/>
              </w:rPr>
              <w:t>Consensus vs. Guidance</w:t>
            </w:r>
          </w:p>
        </w:tc>
      </w:tr>
      <w:tr>
        <w:tc>
          <w:tcPr>
            <w:tcW w:type="dxa" w:w="960"/>
          </w:tcPr>
          <w:p>
            <w:r>
              <w:rPr>
                <w:rFonts w:ascii="Calibri" w:hAnsi="Calibri"/>
                <w:sz w:val="22"/>
              </w:rPr>
              <w:t>Core FFO per Share ($)</w:t>
            </w:r>
          </w:p>
        </w:tc>
        <w:tc>
          <w:tcPr>
            <w:tcW w:type="dxa" w:w="960"/>
          </w:tcPr>
          <w:p>
            <w:r>
              <w:rPr>
                <w:rFonts w:ascii="Calibri" w:hAnsi="Calibri"/>
                <w:sz w:val="22"/>
              </w:rPr>
              <w:t>Q2 2026</w:t>
            </w:r>
          </w:p>
        </w:tc>
        <w:tc>
          <w:tcPr>
            <w:tcW w:type="dxa" w:w="960"/>
          </w:tcPr>
          <w:p>
            <w:r>
              <w:rPr>
                <w:rFonts w:ascii="Calibri" w:hAnsi="Calibri"/>
                <w:sz w:val="22"/>
              </w:rPr>
              <w:t>$2.818</w:t>
            </w:r>
          </w:p>
        </w:tc>
        <w:tc>
          <w:tcPr>
            <w:tcW w:type="dxa" w:w="960"/>
          </w:tcPr>
          <w:p>
            <w:r>
              <w:rPr>
                <w:rFonts w:ascii="Calibri" w:hAnsi="Calibri"/>
                <w:sz w:val="22"/>
              </w:rPr>
              <w:t>$2.811</w:t>
            </w:r>
          </w:p>
        </w:tc>
        <w:tc>
          <w:tcPr>
            <w:tcW w:type="dxa" w:w="960"/>
          </w:tcPr>
          <w:p>
            <w:r>
              <w:rPr>
                <w:rFonts w:ascii="Calibri" w:hAnsi="Calibri"/>
                <w:sz w:val="22"/>
              </w:rPr>
              <w:t>-0.2%</w:t>
            </w:r>
          </w:p>
        </w:tc>
        <w:tc>
          <w:tcPr>
            <w:tcW w:type="dxa" w:w="960"/>
          </w:tcPr>
          <w:p>
            <w:r>
              <w:rPr>
                <w:rFonts w:ascii="Calibri" w:hAnsi="Calibri"/>
                <w:sz w:val="22"/>
              </w:rPr>
              <w:t>$2.72–$2.82 (mid $2.77)</w:t>
            </w:r>
          </w:p>
        </w:tc>
        <w:tc>
          <w:tcPr>
            <w:tcW w:type="dxa" w:w="960"/>
          </w:tcPr>
          <w:p>
            <w:r>
              <w:rPr>
                <w:rFonts w:ascii="Calibri" w:hAnsi="Calibri"/>
                <w:sz w:val="22"/>
              </w:rPr>
              <w:t>Unchanged</w:t>
            </w:r>
          </w:p>
        </w:tc>
        <w:tc>
          <w:tcPr>
            <w:tcW w:type="dxa" w:w="960"/>
          </w:tcPr>
          <w:p>
            <w:r>
              <w:rPr>
                <w:rFonts w:ascii="Calibri" w:hAnsi="Calibri"/>
                <w:sz w:val="22"/>
              </w:rPr>
              <w:t>—</w:t>
            </w:r>
          </w:p>
        </w:tc>
        <w:tc>
          <w:tcPr>
            <w:tcW w:type="dxa" w:w="960"/>
          </w:tcPr>
          <w:p>
            <w:r>
              <w:rPr>
                <w:rFonts w:ascii="Calibri" w:hAnsi="Calibri"/>
                <w:sz w:val="22"/>
              </w:rPr>
              <w:t>+1.5% above midpoint</w:t>
            </w:r>
          </w:p>
        </w:tc>
      </w:tr>
      <w:tr>
        <w:tc>
          <w:tcPr>
            <w:tcW w:type="dxa" w:w="960"/>
          </w:tcPr>
          <w:p>
            <w:r>
              <w:rPr>
                <w:rFonts w:ascii="Calibri" w:hAnsi="Calibri"/>
                <w:sz w:val="22"/>
              </w:rPr>
              <w:t>Core FFO per Share ($)</w:t>
            </w:r>
          </w:p>
        </w:tc>
        <w:tc>
          <w:tcPr>
            <w:tcW w:type="dxa" w:w="960"/>
          </w:tcPr>
          <w:p>
            <w:r>
              <w:rPr>
                <w:rFonts w:ascii="Calibri" w:hAnsi="Calibri"/>
                <w:sz w:val="22"/>
              </w:rPr>
              <w:t>FY 2026</w:t>
            </w:r>
          </w:p>
        </w:tc>
        <w:tc>
          <w:tcPr>
            <w:tcW w:type="dxa" w:w="960"/>
          </w:tcPr>
          <w:p>
            <w:r>
              <w:rPr>
                <w:rFonts w:ascii="Calibri" w:hAnsi="Calibri"/>
                <w:sz w:val="22"/>
              </w:rPr>
              <w:t>$11.371</w:t>
            </w:r>
          </w:p>
        </w:tc>
        <w:tc>
          <w:tcPr>
            <w:tcW w:type="dxa" w:w="960"/>
          </w:tcPr>
          <w:p>
            <w:r>
              <w:rPr>
                <w:rFonts w:ascii="Calibri" w:hAnsi="Calibri"/>
                <w:sz w:val="22"/>
              </w:rPr>
              <w:t>$11.333</w:t>
            </w:r>
          </w:p>
        </w:tc>
        <w:tc>
          <w:tcPr>
            <w:tcW w:type="dxa" w:w="960"/>
          </w:tcPr>
          <w:p>
            <w:r>
              <w:rPr>
                <w:rFonts w:ascii="Calibri" w:hAnsi="Calibri"/>
                <w:sz w:val="22"/>
              </w:rPr>
              <w:t>-0.3%</w:t>
            </w:r>
          </w:p>
        </w:tc>
        <w:tc>
          <w:tcPr>
            <w:tcW w:type="dxa" w:w="960"/>
          </w:tcPr>
          <w:p>
            <w:r>
              <w:rPr>
                <w:rFonts w:ascii="Calibri" w:hAnsi="Calibri"/>
                <w:sz w:val="22"/>
              </w:rPr>
              <w:t>Affirmed Feb guidance</w:t>
            </w:r>
          </w:p>
        </w:tc>
        <w:tc>
          <w:tcPr>
            <w:tcW w:type="dxa" w:w="960"/>
          </w:tcPr>
          <w:p>
            <w:r>
              <w:rPr>
                <w:rFonts w:ascii="Calibri" w:hAnsi="Calibri"/>
                <w:sz w:val="22"/>
              </w:rPr>
              <w:t>Unchanged</w:t>
            </w:r>
          </w:p>
        </w:tc>
        <w:tc>
          <w:tcPr>
            <w:tcW w:type="dxa" w:w="960"/>
          </w:tcPr>
          <w:p>
            <w:r>
              <w:rPr>
                <w:rFonts w:ascii="Calibri" w:hAnsi="Calibri"/>
                <w:sz w:val="22"/>
              </w:rPr>
              <w:t>—</w:t>
            </w:r>
          </w:p>
        </w:tc>
        <w:tc>
          <w:tcPr>
            <w:tcW w:type="dxa" w:w="960"/>
          </w:tcPr>
          <w:p>
            <w:r>
              <w:rPr>
                <w:rFonts w:ascii="Calibri" w:hAnsi="Calibri"/>
                <w:sz w:val="22"/>
              </w:rPr>
              <w:t>N/A</w:t>
            </w:r>
          </w:p>
        </w:tc>
      </w:tr>
      <w:tr>
        <w:tc>
          <w:tcPr>
            <w:tcW w:type="dxa" w:w="960"/>
          </w:tcPr>
          <w:p>
            <w:r>
              <w:rPr>
                <w:rFonts w:ascii="Calibri" w:hAnsi="Calibri"/>
                <w:sz w:val="22"/>
              </w:rPr>
              <w:t>Same-Store Revenue Growth (%)</w:t>
            </w:r>
          </w:p>
        </w:tc>
        <w:tc>
          <w:tcPr>
            <w:tcW w:type="dxa" w:w="960"/>
          </w:tcPr>
          <w:p>
            <w:r>
              <w:rPr>
                <w:rFonts w:ascii="Calibri" w:hAnsi="Calibri"/>
                <w:sz w:val="22"/>
              </w:rPr>
              <w:t>Q2 2026</w:t>
            </w:r>
          </w:p>
        </w:tc>
        <w:tc>
          <w:tcPr>
            <w:tcW w:type="dxa" w:w="960"/>
          </w:tcPr>
          <w:p>
            <w:r>
              <w:rPr>
                <w:rFonts w:ascii="Calibri" w:hAnsi="Calibri"/>
                <w:sz w:val="22"/>
              </w:rPr>
              <w:t>1.29%</w:t>
            </w:r>
          </w:p>
        </w:tc>
        <w:tc>
          <w:tcPr>
            <w:tcW w:type="dxa" w:w="960"/>
          </w:tcPr>
          <w:p>
            <w:r>
              <w:rPr>
                <w:rFonts w:ascii="Calibri" w:hAnsi="Calibri"/>
                <w:sz w:val="22"/>
              </w:rPr>
              <w:t>1.38%</w:t>
            </w:r>
          </w:p>
        </w:tc>
        <w:tc>
          <w:tcPr>
            <w:tcW w:type="dxa" w:w="960"/>
          </w:tcPr>
          <w:p>
            <w:r>
              <w:rPr>
                <w:rFonts w:ascii="Calibri" w:hAnsi="Calibri"/>
                <w:sz w:val="22"/>
              </w:rPr>
              <w:t>+7 bps</w:t>
            </w:r>
          </w:p>
        </w:tc>
        <w:tc>
          <w:tcPr>
            <w:tcW w:type="dxa" w:w="960"/>
          </w:tcPr>
          <w:p>
            <w:r>
              <w:rPr>
                <w:rFonts w:ascii="Calibri" w:hAnsi="Calibri"/>
                <w:sz w:val="22"/>
              </w:rPr>
              <w:t>~1.25% H1 blended</w:t>
            </w:r>
          </w:p>
        </w:tc>
        <w:tc>
          <w:tcPr>
            <w:tcW w:type="dxa" w:w="960"/>
          </w:tcPr>
          <w:p>
            <w:r>
              <w:rPr>
                <w:rFonts w:ascii="Calibri" w:hAnsi="Calibri"/>
                <w:sz w:val="22"/>
              </w:rPr>
              <w:t>Unchanged</w:t>
            </w:r>
          </w:p>
        </w:tc>
        <w:tc>
          <w:tcPr>
            <w:tcW w:type="dxa" w:w="960"/>
          </w:tcPr>
          <w:p>
            <w:r>
              <w:rPr>
                <w:rFonts w:ascii="Calibri" w:hAnsi="Calibri"/>
                <w:sz w:val="22"/>
              </w:rPr>
              <w:t>—</w:t>
            </w:r>
          </w:p>
        </w:tc>
        <w:tc>
          <w:tcPr>
            <w:tcW w:type="dxa" w:w="960"/>
          </w:tcPr>
          <w:p>
            <w:r>
              <w:rPr>
                <w:rFonts w:ascii="Calibri" w:hAnsi="Calibri"/>
                <w:sz w:val="22"/>
              </w:rPr>
              <w:t>+13 bps above H1 guide</w:t>
            </w:r>
          </w:p>
        </w:tc>
      </w:tr>
      <w:tr>
        <w:tc>
          <w:tcPr>
            <w:tcW w:type="dxa" w:w="960"/>
          </w:tcPr>
          <w:p>
            <w:r>
              <w:rPr>
                <w:rFonts w:ascii="Calibri" w:hAnsi="Calibri"/>
                <w:sz w:val="22"/>
              </w:rPr>
              <w:t>Same-Store NOI Growth (%)</w:t>
            </w:r>
          </w:p>
        </w:tc>
        <w:tc>
          <w:tcPr>
            <w:tcW w:type="dxa" w:w="960"/>
          </w:tcPr>
          <w:p>
            <w:r>
              <w:rPr>
                <w:rFonts w:ascii="Calibri" w:hAnsi="Calibri"/>
                <w:sz w:val="22"/>
              </w:rPr>
              <w:t>Q2 2026</w:t>
            </w:r>
          </w:p>
        </w:tc>
        <w:tc>
          <w:tcPr>
            <w:tcW w:type="dxa" w:w="960"/>
          </w:tcPr>
          <w:p>
            <w:r>
              <w:rPr>
                <w:rFonts w:ascii="Calibri" w:hAnsi="Calibri"/>
                <w:sz w:val="22"/>
              </w:rPr>
              <w:t>-0.60%</w:t>
            </w:r>
          </w:p>
        </w:tc>
        <w:tc>
          <w:tcPr>
            <w:tcW w:type="dxa" w:w="960"/>
          </w:tcPr>
          <w:p>
            <w:r>
              <w:rPr>
                <w:rFonts w:ascii="Calibri" w:hAnsi="Calibri"/>
                <w:sz w:val="22"/>
              </w:rPr>
              <w:t>-0.03%</w:t>
            </w:r>
          </w:p>
        </w:tc>
        <w:tc>
          <w:tcPr>
            <w:tcW w:type="dxa" w:w="960"/>
          </w:tcPr>
          <w:p>
            <w:r>
              <w:rPr>
                <w:rFonts w:ascii="Calibri" w:hAnsi="Calibri"/>
                <w:sz w:val="22"/>
              </w:rPr>
              <w:t>+57 bps</w:t>
            </w:r>
          </w:p>
        </w:tc>
        <w:tc>
          <w:tcPr>
            <w:tcW w:type="dxa" w:w="960"/>
          </w:tcPr>
          <w:p>
            <w:r>
              <w:rPr>
                <w:rFonts w:ascii="Calibri" w:hAnsi="Calibri"/>
                <w:sz w:val="22"/>
              </w:rPr>
              <w:t>N/A</w:t>
            </w:r>
          </w:p>
        </w:tc>
        <w:tc>
          <w:tcPr>
            <w:tcW w:type="dxa" w:w="960"/>
          </w:tcPr>
          <w:p>
            <w:r>
              <w:rPr>
                <w:rFonts w:ascii="Calibri" w:hAnsi="Calibri"/>
                <w:sz w:val="22"/>
              </w:rPr>
              <w:t>N/A</w:t>
            </w:r>
          </w:p>
        </w:tc>
        <w:tc>
          <w:tcPr>
            <w:tcW w:type="dxa" w:w="960"/>
          </w:tcPr>
          <w:p>
            <w:r>
              <w:rPr>
                <w:rFonts w:ascii="Calibri" w:hAnsi="Calibri"/>
                <w:sz w:val="22"/>
              </w:rPr>
              <w:t>—</w:t>
            </w:r>
          </w:p>
        </w:tc>
        <w:tc>
          <w:tcPr>
            <w:tcW w:type="dxa" w:w="960"/>
          </w:tcPr>
          <w:p>
            <w:r>
              <w:rPr>
                <w:rFonts w:ascii="Calibri" w:hAnsi="Calibri"/>
                <w:sz w:val="22"/>
              </w:rPr>
              <w:t>N/A</w:t>
            </w:r>
          </w:p>
        </w:tc>
      </w:tr>
      <w:tr>
        <w:tc>
          <w:tcPr>
            <w:tcW w:type="dxa" w:w="960"/>
          </w:tcPr>
          <w:p>
            <w:r>
              <w:rPr>
                <w:rFonts w:ascii="Calibri" w:hAnsi="Calibri"/>
                <w:sz w:val="22"/>
              </w:rPr>
              <w:t>Same-Store Revenue Growth (%)</w:t>
            </w:r>
          </w:p>
        </w:tc>
        <w:tc>
          <w:tcPr>
            <w:tcW w:type="dxa" w:w="960"/>
          </w:tcPr>
          <w:p>
            <w:r>
              <w:rPr>
                <w:rFonts w:ascii="Calibri" w:hAnsi="Calibri"/>
                <w:sz w:val="22"/>
              </w:rPr>
              <w:t>FY 2026</w:t>
            </w:r>
          </w:p>
        </w:tc>
        <w:tc>
          <w:tcPr>
            <w:tcW w:type="dxa" w:w="960"/>
          </w:tcPr>
          <w:p>
            <w:r>
              <w:rPr>
                <w:rFonts w:ascii="Calibri" w:hAnsi="Calibri"/>
                <w:sz w:val="22"/>
              </w:rPr>
              <w:t>1.64%</w:t>
            </w:r>
          </w:p>
        </w:tc>
        <w:tc>
          <w:tcPr>
            <w:tcW w:type="dxa" w:w="960"/>
          </w:tcPr>
          <w:p>
            <w:r>
              <w:rPr>
                <w:rFonts w:ascii="Calibri" w:hAnsi="Calibri"/>
                <w:sz w:val="22"/>
              </w:rPr>
              <w:t>1.65%</w:t>
            </w:r>
          </w:p>
        </w:tc>
        <w:tc>
          <w:tcPr>
            <w:tcW w:type="dxa" w:w="960"/>
          </w:tcPr>
          <w:p>
            <w:r>
              <w:rPr>
                <w:rFonts w:ascii="Calibri" w:hAnsi="Calibri"/>
                <w:sz w:val="22"/>
              </w:rPr>
              <w:t>+1 bp</w:t>
            </w:r>
          </w:p>
        </w:tc>
        <w:tc>
          <w:tcPr>
            <w:tcW w:type="dxa" w:w="960"/>
          </w:tcPr>
          <w:p>
            <w:r>
              <w:rPr>
                <w:rFonts w:ascii="Calibri" w:hAnsi="Calibri"/>
                <w:sz w:val="22"/>
              </w:rPr>
              <w:t>~2.5% implied</w:t>
            </w:r>
          </w:p>
        </w:tc>
        <w:tc>
          <w:tcPr>
            <w:tcW w:type="dxa" w:w="960"/>
          </w:tcPr>
          <w:p>
            <w:r>
              <w:rPr>
                <w:rFonts w:ascii="Calibri" w:hAnsi="Calibri"/>
                <w:sz w:val="22"/>
              </w:rPr>
              <w:t>Unchanged</w:t>
            </w:r>
          </w:p>
        </w:tc>
        <w:tc>
          <w:tcPr>
            <w:tcW w:type="dxa" w:w="960"/>
          </w:tcPr>
          <w:p>
            <w:r>
              <w:rPr>
                <w:rFonts w:ascii="Calibri" w:hAnsi="Calibri"/>
                <w:sz w:val="22"/>
              </w:rPr>
              <w:t>—</w:t>
            </w:r>
          </w:p>
        </w:tc>
        <w:tc>
          <w:tcPr>
            <w:tcW w:type="dxa" w:w="960"/>
          </w:tcPr>
          <w:p>
            <w:r>
              <w:rPr>
                <w:rFonts w:ascii="Calibri" w:hAnsi="Calibri"/>
                <w:sz w:val="22"/>
              </w:rPr>
              <w:t>-85 bps below guidance</w:t>
            </w:r>
          </w:p>
        </w:tc>
      </w:tr>
    </w:tbl>
    <w:p>
      <w:r>
        <w:rPr>
          <w:rFonts w:ascii="Calibri" w:hAnsi="Calibri"/>
          <w:i/>
          <w:color w:val="525866"/>
          <w:sz w:val="22"/>
        </w:rPr>
        <w:t xml:space="preserve">Source: Visible Alpha consensus data. </w:t>
      </w:r>
      <w:r>
        <w:rPr>
          <w:rFonts w:ascii="Calibri" w:hAnsi="Calibri"/>
          <w:i/>
          <w:color w:val="525866"/>
          <w:sz w:val="22"/>
        </w:rPr>
        <w:t>The flat estimate trajectory on Core FFO reflects the Street’s wait-and-see posture ahead of peak leasing season. The slight improvement in Q2 same-store NOI consensus (from -0.60% to -0.03%) may reflect some optimism on the leasing environment, consistent with peer commentary from ESS, EQR, and UDR all pointing to accelerating blended rates in April. The persistent gap between FY 2026 same-store revenue consensus (1.65%) and management’s implied guidance (~2.5%) represents the key debate: can H2 blended rent change actually reach 2.5%?</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AVB has outperformed both VNQ (+9.4% vs. +5.0%) and the S&amp;P 500 (+4.6%) since Q1 earnings, but the outperformance is almost entirely attributable to the May 21 merger announcement — the stock now trades as a quasi-EQR proxy at a fixed 2.793x exchange ratio, meaning standalone fundamental performance has become secondary to deal execution risk.</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AVB vs. VNQ (REIT ETF) vs. S&amp;P 500 (SPY) — Indexed to 100 at Q1 2026 Earnings (April 27, 2026). Sector ETF: VNQ (Vanguard Real Estate ETF), appropriate for AVB’s multifamily REIT sub-sector.</w:t>
      </w:r>
    </w:p>
    <w:p>
      <w:r>
        <w:rPr>
          <w:rFonts w:ascii="Calibri" w:hAnsi="Calibri"/>
          <w:i/>
          <w:color w:val="525866"/>
          <w:sz w:val="22"/>
        </w:rPr>
        <w:t xml:space="preserve">AVB closed at $174.28 on April 27 (Q1 earnings day) and has risen to $190.65 as of July 21, a gain of </w:t>
      </w:r>
      <w:r>
        <w:rPr>
          <w:rFonts w:ascii="Calibri" w:hAnsi="Calibri"/>
          <w:b/>
          <w:i/>
          <w:color w:val="525866"/>
          <w:sz w:val="22"/>
        </w:rPr>
        <w:t>+9.4%</w:t>
      </w:r>
      <w:r>
        <w:rPr>
          <w:rFonts w:ascii="Calibri" w:hAnsi="Calibri"/>
          <w:i/>
          <w:color w:val="525866"/>
          <w:sz w:val="22"/>
        </w:rPr>
        <w:t xml:space="preserve"> vs. VNQ’s +5.0% and SPY’s +4.6%. The outperformance is almost entirely attributable to the May 21 merger announcement with EQR, which caused an immediate re-rating as the market priced in deal premium and the combined entity’s scale advantages. Since the merger announcement, AVB has largely traded as a function of EQR’s share price (given the fixed 2.793x exchange ratio), meaning standalone fundamental performance has become secondary to deal execution risk and EQR’s own trading dynamics. The sector ETF (VNQ) has also performed well, reflecting improving multifamily fundamentals across the board as supply declines accelerate into 2026–2027.</w:t>
      </w:r>
    </w:p>
    <w:p>
      <w:pPr>
        <w:pStyle w:val="Heading2"/>
      </w:pPr>
      <w:r>
        <w:rPr>
          <w:rFonts w:ascii="Calibri" w:hAnsi="Calibri"/>
          <w:b/>
          <w:color w:val="3B4259"/>
          <w:sz w:val="28"/>
        </w:rPr>
        <w:t>6. Peer Commentaries — Q2 2026 Read-Throughs (Last 60 Days)</w:t>
      </w:r>
    </w:p>
    <w:p>
      <w:r>
        <w:rPr>
          <w:rFonts w:ascii="Calibri" w:hAnsi="Calibri"/>
          <w:b/>
          <w:color w:val="525866"/>
          <w:sz w:val="22"/>
        </w:rPr>
        <w:t xml:space="preserve">Key Takeaway: </w:t>
      </w:r>
      <w:r>
        <w:rPr>
          <w:rFonts w:ascii="Calibri" w:hAnsi="Calibri"/>
          <w:color w:val="525866"/>
          <w:sz w:val="22"/>
        </w:rPr>
        <w:t>Peer Q1 2026 earnings calls (late April/early May) provided forward-looking commentary on Q2 2026 and the peak leasing season that is directly relevant to AVB’s upcoming print — the consistent theme is accelerating blended rates in April/May, strong occupancy, and improving supply dynamics in coastal markets.</w:t>
      </w:r>
    </w:p>
    <w:p>
      <w:r>
        <w:rPr>
          <w:rFonts w:ascii="Calibri" w:hAnsi="Calibri"/>
          <w:b/>
          <w:color w:val="525866"/>
          <w:sz w:val="22"/>
        </w:rPr>
        <w:t xml:space="preserve">Note: </w:t>
      </w:r>
      <w:r>
        <w:rPr>
          <w:rFonts w:ascii="Calibri" w:hAnsi="Calibri"/>
          <w:i/>
          <w:color w:val="525866"/>
          <w:sz w:val="22"/>
        </w:rPr>
        <w:t>All peer commentary below is forward-looking guidance and color provided during Q1 2026 earnings calls (reported late April to early May 2026), focused on Q2 2026 and the remainder of 2026. This is NOT backward-looking Q1 results commentary — it represents the most current peer read-through available for AVB’s upcoming Q2 print.</w:t>
      </w:r>
    </w:p>
    <w:p>
      <w:pPr>
        <w:pStyle w:val="Heading3"/>
      </w:pPr>
      <w:r>
        <w:rPr>
          <w:rFonts w:ascii="Calibri" w:hAnsi="Calibri"/>
          <w:b/>
          <w:color w:val="3B4259"/>
          <w:sz w:val="24"/>
        </w:rPr>
        <w:t>Essex Property Trust (ESS) — Q1 2026 Earnings Call (April 29, 2026)</w:t>
      </w:r>
    </w:p>
    <w:p>
      <w:r>
        <w:rPr>
          <w:rFonts w:ascii="Calibri" w:hAnsi="Calibri"/>
          <w:b/>
          <w:color w:val="525866"/>
          <w:sz w:val="22"/>
        </w:rPr>
        <w:t xml:space="preserve">Relevance to AVB: </w:t>
      </w:r>
      <w:r>
        <w:rPr>
          <w:rFonts w:ascii="Calibri" w:hAnsi="Calibri"/>
          <w:color w:val="525866"/>
          <w:sz w:val="22"/>
        </w:rPr>
        <w:t>ESS is AVB’s closest coastal peer with heavy Northern California and Seattle exposure — two of AVB’s key markets.</w:t>
      </w:r>
    </w:p>
    <w:p>
      <w:pPr>
        <w:pStyle w:val="ListBullet"/>
        <w:ind w:left="360" w:hanging="360"/>
      </w:pPr>
      <w:r>
        <w:rPr>
          <w:rFonts w:ascii="Calibri" w:hAnsi="Calibri"/>
          <w:b/>
          <w:color w:val="525866"/>
          <w:sz w:val="22"/>
        </w:rPr>
        <w:t xml:space="preserve">Blended lease rate acceleration: </w:t>
      </w:r>
      <w:r>
        <w:rPr>
          <w:rFonts w:ascii="Calibri" w:hAnsi="Calibri"/>
          <w:color w:val="525866"/>
          <w:sz w:val="22"/>
        </w:rPr>
        <w:t>Blended lease rate growth accelerated sharply from 1.4% in Q1 to north of 3% in April, with Northern California at north of 5% — directly positive for AVB’s NorCal portfolio.</w:t>
      </w:r>
    </w:p>
    <w:p>
      <w:pPr>
        <w:pStyle w:val="ListBullet"/>
        <w:ind w:left="360" w:hanging="360"/>
      </w:pPr>
      <w:r>
        <w:rPr>
          <w:rFonts w:ascii="Calibri" w:hAnsi="Calibri"/>
          <w:b/>
          <w:color w:val="525866"/>
          <w:sz w:val="22"/>
        </w:rPr>
        <w:t xml:space="preserve">Full-year guidance reaffirmed: </w:t>
      </w:r>
      <w:r>
        <w:rPr>
          <w:rFonts w:ascii="Calibri" w:hAnsi="Calibri"/>
          <w:color w:val="525866"/>
          <w:sz w:val="22"/>
        </w:rPr>
        <w:t>ESS reaffirmed full-year same-property revenue guidance of 2.5%, noting Q1 came in 50 bps ahead of plan; if performance continued at Q1 pace, same-store revenues would be ~15 bps above guidance.</w:t>
      </w:r>
    </w:p>
    <w:p>
      <w:pPr>
        <w:pStyle w:val="ListBullet"/>
        <w:ind w:left="360" w:hanging="360"/>
      </w:pPr>
      <w:r>
        <w:rPr>
          <w:rFonts w:ascii="Calibri" w:hAnsi="Calibri"/>
          <w:b/>
          <w:color w:val="525866"/>
          <w:sz w:val="22"/>
        </w:rPr>
        <w:t xml:space="preserve">Renewals sticky: </w:t>
      </w:r>
      <w:r>
        <w:rPr>
          <w:rFonts w:ascii="Calibri" w:hAnsi="Calibri"/>
          <w:color w:val="525866"/>
          <w:sz w:val="22"/>
        </w:rPr>
        <w:t>Renewal offers sent at ~5%, described as “pretty darn sticky” — consistent with AVB’s 5%–5.5% renewal offers for May/June.</w:t>
      </w:r>
    </w:p>
    <w:p>
      <w:pPr>
        <w:pStyle w:val="ListBullet"/>
        <w:ind w:left="360" w:hanging="360"/>
      </w:pPr>
      <w:r>
        <w:rPr>
          <w:rFonts w:ascii="Calibri" w:hAnsi="Calibri"/>
          <w:b/>
          <w:color w:val="525866"/>
          <w:sz w:val="22"/>
        </w:rPr>
        <w:t xml:space="preserve">Northern California — best market: </w:t>
      </w:r>
      <w:r>
        <w:rPr>
          <w:rFonts w:ascii="Calibri" w:hAnsi="Calibri"/>
          <w:color w:val="525866"/>
          <w:sz w:val="22"/>
        </w:rPr>
        <w:t>Blended rent growth of 3.2% in Q1, accelerating to north of 5% in April; rent-to-income ratios at 21.5% vs. 20-year average of 26%, suggesting significant rent upside. San Francisco and San Mateo leading.</w:t>
      </w:r>
    </w:p>
    <w:p>
      <w:pPr>
        <w:pStyle w:val="ListBullet"/>
        <w:ind w:left="360" w:hanging="360"/>
      </w:pPr>
      <w:r>
        <w:rPr>
          <w:rFonts w:ascii="Calibri" w:hAnsi="Calibri"/>
          <w:b/>
          <w:color w:val="525866"/>
          <w:sz w:val="22"/>
        </w:rPr>
        <w:t xml:space="preserve">Supply structurally constrained: </w:t>
      </w:r>
      <w:r>
        <w:rPr>
          <w:rFonts w:ascii="Calibri" w:hAnsi="Calibri"/>
          <w:color w:val="525866"/>
          <w:sz w:val="22"/>
        </w:rPr>
        <w:t>California permitting at historical lows; new housing deliveries expected to remain at ~0.5% of existing stock for several years — directly supportive of AVB’s established coastal portfolio.</w:t>
      </w:r>
    </w:p>
    <w:p>
      <w:pPr>
        <w:pStyle w:val="ListBullet"/>
        <w:ind w:left="360" w:hanging="360"/>
      </w:pPr>
      <w:r>
        <w:rPr>
          <w:rFonts w:ascii="Calibri" w:hAnsi="Calibri"/>
          <w:b/>
          <w:color w:val="525866"/>
          <w:sz w:val="22"/>
        </w:rPr>
        <w:t xml:space="preserve">Seattle — mixed: </w:t>
      </w:r>
      <w:r>
        <w:rPr>
          <w:rFonts w:ascii="Calibri" w:hAnsi="Calibri"/>
          <w:color w:val="525866"/>
          <w:sz w:val="22"/>
        </w:rPr>
        <w:t>Negative 80 bps blended in Q1 but sequential monthly improvement; East Side outperforming CBD. Mixed read for AVB’s Seattle exposure.</w:t>
      </w:r>
    </w:p>
    <w:p>
      <w:pPr>
        <w:pStyle w:val="ListBullet"/>
        <w:ind w:left="360" w:hanging="360"/>
      </w:pPr>
      <w:r>
        <w:rPr>
          <w:rFonts w:ascii="Calibri" w:hAnsi="Calibri"/>
          <w:b/>
          <w:color w:val="525866"/>
          <w:sz w:val="22"/>
        </w:rPr>
        <w:t xml:space="preserve">Los Angeles — glacial improvement: </w:t>
      </w:r>
      <w:r>
        <w:rPr>
          <w:rFonts w:ascii="Calibri" w:hAnsi="Calibri"/>
          <w:color w:val="525866"/>
          <w:sz w:val="22"/>
        </w:rPr>
        <w:t>Still challenging; eviction processing times improved to ~4 months from 6 months. Modest positive for AVB’s LA portfolio.</w:t>
      </w:r>
    </w:p>
    <w:p>
      <w:pPr>
        <w:pStyle w:val="ListBullet"/>
        <w:ind w:left="360" w:hanging="360"/>
      </w:pPr>
      <w:r>
        <w:rPr>
          <w:rFonts w:ascii="Calibri" w:hAnsi="Calibri"/>
          <w:b/>
          <w:color w:val="525866"/>
          <w:sz w:val="22"/>
        </w:rPr>
        <w:t xml:space="preserve">AI demand tailwind: </w:t>
      </w:r>
      <w:r>
        <w:rPr>
          <w:rFonts w:ascii="Calibri" w:hAnsi="Calibri"/>
          <w:color w:val="525866"/>
          <w:sz w:val="22"/>
        </w:rPr>
        <w:t>ESS seeing direct benefit from AI job growth, particularly near San Francisco; domestic immigration to Bay Area above pre-COVID levels.</w:t>
      </w:r>
    </w:p>
    <w:p>
      <w:pPr>
        <w:pStyle w:val="Heading3"/>
      </w:pPr>
      <w:r>
        <w:rPr>
          <w:rFonts w:ascii="Calibri" w:hAnsi="Calibri"/>
          <w:b/>
          <w:color w:val="3B4259"/>
          <w:sz w:val="24"/>
        </w:rPr>
        <w:t>Equity Residential (EQR) — Q1 2026 Earnings Call (April 29, 2026)</w:t>
      </w:r>
    </w:p>
    <w:p>
      <w:r>
        <w:rPr>
          <w:rFonts w:ascii="Calibri" w:hAnsi="Calibri"/>
          <w:b/>
          <w:color w:val="525866"/>
          <w:sz w:val="22"/>
        </w:rPr>
        <w:t xml:space="preserve">Relevance to AVB: </w:t>
      </w:r>
      <w:r>
        <w:rPr>
          <w:rFonts w:ascii="Calibri" w:hAnsi="Calibri"/>
          <w:color w:val="525866"/>
          <w:sz w:val="22"/>
        </w:rPr>
        <w:t>EQR is AVB’s merger partner — its commentary is directly relevant both as a peer read-through AND as a signal of the combined entity’s trajectory.</w:t>
      </w:r>
    </w:p>
    <w:p>
      <w:pPr>
        <w:pStyle w:val="ListBullet"/>
        <w:ind w:left="360" w:hanging="360"/>
      </w:pPr>
      <w:r>
        <w:rPr>
          <w:rFonts w:ascii="Calibri" w:hAnsi="Calibri"/>
          <w:b/>
          <w:color w:val="525866"/>
          <w:sz w:val="22"/>
        </w:rPr>
        <w:t xml:space="preserve">Q2 2026 setup: </w:t>
      </w:r>
      <w:r>
        <w:rPr>
          <w:rFonts w:ascii="Calibri" w:hAnsi="Calibri"/>
          <w:color w:val="525866"/>
          <w:sz w:val="22"/>
        </w:rPr>
        <w:t>“Starting the spring leasing season in a good position with solid demand and strong physical occupancy of 96.3%”; net effective prices up just over 4% since January 1.</w:t>
      </w:r>
    </w:p>
    <w:p>
      <w:pPr>
        <w:pStyle w:val="ListBullet"/>
        <w:ind w:left="360" w:hanging="360"/>
      </w:pPr>
      <w:r>
        <w:rPr>
          <w:rFonts w:ascii="Calibri" w:hAnsi="Calibri"/>
          <w:b/>
          <w:color w:val="525866"/>
          <w:sz w:val="22"/>
        </w:rPr>
        <w:t xml:space="preserve">Blended rate sequential build expected: </w:t>
      </w:r>
      <w:r>
        <w:rPr>
          <w:rFonts w:ascii="Calibri" w:hAnsi="Calibri"/>
          <w:color w:val="525866"/>
          <w:sz w:val="22"/>
        </w:rPr>
        <w:t>Blended rate growth of 1.5% in Q1; sequential build expected in Q2; renewal quotes for May/June at “just over 6%” with confidence in achieving ~5% renewal rate increases.</w:t>
      </w:r>
    </w:p>
    <w:p>
      <w:pPr>
        <w:pStyle w:val="ListBullet"/>
        <w:ind w:left="360" w:hanging="360"/>
      </w:pPr>
      <w:r>
        <w:rPr>
          <w:rFonts w:ascii="Calibri" w:hAnsi="Calibri"/>
          <w:b/>
          <w:color w:val="525866"/>
          <w:sz w:val="22"/>
        </w:rPr>
        <w:t xml:space="preserve">Concessions declining: </w:t>
      </w:r>
      <w:r>
        <w:rPr>
          <w:rFonts w:ascii="Calibri" w:hAnsi="Calibri"/>
          <w:color w:val="525866"/>
          <w:sz w:val="22"/>
        </w:rPr>
        <w:t>Concession use down ~21% portfolio-wide vs. Q1 2025; full-year concession reduction expected at ~20% vs. 2025 — positive for revenue quality.</w:t>
      </w:r>
    </w:p>
    <w:p>
      <w:pPr>
        <w:pStyle w:val="ListBullet"/>
        <w:ind w:left="360" w:hanging="360"/>
      </w:pPr>
      <w:r>
        <w:rPr>
          <w:rFonts w:ascii="Calibri" w:hAnsi="Calibri"/>
          <w:b/>
          <w:color w:val="525866"/>
          <w:sz w:val="22"/>
        </w:rPr>
        <w:t xml:space="preserve">San Francisco — best market: </w:t>
      </w:r>
      <w:r>
        <w:rPr>
          <w:rFonts w:ascii="Calibri" w:hAnsi="Calibri"/>
          <w:color w:val="525866"/>
          <w:sz w:val="22"/>
        </w:rPr>
        <w:t>AI boom driving demand, “virtually nonexistent” concessions in downtown submarket; almost no new competitive supply in 2026. Rents just recently moved above pre-COVID levels while nominal wages increased 30% since 2019.</w:t>
      </w:r>
    </w:p>
    <w:p>
      <w:pPr>
        <w:pStyle w:val="ListBullet"/>
        <w:ind w:left="360" w:hanging="360"/>
      </w:pPr>
      <w:r>
        <w:rPr>
          <w:rFonts w:ascii="Calibri" w:hAnsi="Calibri"/>
          <w:b/>
          <w:color w:val="525866"/>
          <w:sz w:val="22"/>
        </w:rPr>
        <w:t xml:space="preserve">New York — excellent performance: </w:t>
      </w:r>
      <w:r>
        <w:rPr>
          <w:rFonts w:ascii="Calibri" w:hAnsi="Calibri"/>
          <w:color w:val="525866"/>
          <w:sz w:val="22"/>
        </w:rPr>
        <w:t>Demand outpacing supply, almost no new competitive deliveries in 2026; large financial institutions producing record profits. Together NY and SF constitute ~30% of EQR’s NOI.</w:t>
      </w:r>
    </w:p>
    <w:p>
      <w:pPr>
        <w:pStyle w:val="ListBullet"/>
        <w:ind w:left="360" w:hanging="360"/>
      </w:pPr>
      <w:r>
        <w:rPr>
          <w:rFonts w:ascii="Calibri" w:hAnsi="Calibri"/>
          <w:b/>
          <w:color w:val="525866"/>
          <w:sz w:val="22"/>
        </w:rPr>
        <w:t xml:space="preserve">D.C. — modest but improving: </w:t>
      </w:r>
      <w:r>
        <w:rPr>
          <w:rFonts w:ascii="Calibri" w:hAnsi="Calibri"/>
          <w:color w:val="525866"/>
          <w:sz w:val="22"/>
        </w:rPr>
        <w:t>Performing in line with “modest expectations,” pricing power less than normal but expected to improve as deliveries decline 65% YoY; sets up for “strong year in 2027.”</w:t>
      </w:r>
    </w:p>
    <w:p>
      <w:pPr>
        <w:pStyle w:val="ListBullet"/>
        <w:ind w:left="360" w:hanging="360"/>
      </w:pPr>
      <w:r>
        <w:rPr>
          <w:rFonts w:ascii="Calibri" w:hAnsi="Calibri"/>
          <w:b/>
          <w:color w:val="525866"/>
          <w:sz w:val="22"/>
        </w:rPr>
        <w:t xml:space="preserve">Seattle — below expectations: </w:t>
      </w:r>
      <w:r>
        <w:rPr>
          <w:rFonts w:ascii="Calibri" w:hAnsi="Calibri"/>
          <w:color w:val="525866"/>
          <w:sz w:val="22"/>
        </w:rPr>
        <w:t>Still absorbing 2025 deliveries; Bellevue/Redmond submarket showing positive traction with recent office leasing activity.</w:t>
      </w:r>
    </w:p>
    <w:p>
      <w:pPr>
        <w:pStyle w:val="ListBullet"/>
        <w:ind w:left="360" w:hanging="360"/>
      </w:pPr>
      <w:r>
        <w:rPr>
          <w:rFonts w:ascii="Calibri" w:hAnsi="Calibri"/>
          <w:b/>
          <w:color w:val="525866"/>
          <w:sz w:val="22"/>
        </w:rPr>
        <w:t xml:space="preserve">Supply structural tailwind: </w:t>
      </w:r>
      <w:r>
        <w:rPr>
          <w:rFonts w:ascii="Calibri" w:hAnsi="Calibri"/>
          <w:color w:val="525866"/>
          <w:sz w:val="22"/>
        </w:rPr>
        <w:t>Deliveries in EQR markets expected down 35% in 2026 vs. 2025 — structural tailwind for the combined AVB/EQR entity.</w:t>
      </w:r>
    </w:p>
    <w:p>
      <w:pPr>
        <w:pStyle w:val="ListBullet"/>
        <w:ind w:left="360" w:hanging="360"/>
      </w:pPr>
      <w:r>
        <w:rPr>
          <w:rFonts w:ascii="Calibri" w:hAnsi="Calibri"/>
          <w:b/>
          <w:color w:val="525866"/>
          <w:sz w:val="22"/>
        </w:rPr>
        <w:t xml:space="preserve">Resident financial health: </w:t>
      </w:r>
      <w:r>
        <w:rPr>
          <w:rFonts w:ascii="Calibri" w:hAnsi="Calibri"/>
          <w:color w:val="525866"/>
          <w:sz w:val="22"/>
        </w:rPr>
        <w:t>Household incomes for new move-ins rising, rent-to-income at 19%, record low turnover — supportive of pricing power.</w:t>
      </w:r>
    </w:p>
    <w:p>
      <w:pPr>
        <w:pStyle w:val="Heading3"/>
      </w:pPr>
      <w:r>
        <w:rPr>
          <w:rFonts w:ascii="Calibri" w:hAnsi="Calibri"/>
          <w:b/>
          <w:color w:val="3B4259"/>
          <w:sz w:val="24"/>
        </w:rPr>
        <w:t>UDR — Q1 2026 Earnings Call (April 30, 2026)</w:t>
      </w:r>
    </w:p>
    <w:p>
      <w:r>
        <w:rPr>
          <w:rFonts w:ascii="Calibri" w:hAnsi="Calibri"/>
          <w:b/>
          <w:color w:val="525866"/>
          <w:sz w:val="22"/>
        </w:rPr>
        <w:t xml:space="preserve">Relevance to AVB: </w:t>
      </w:r>
      <w:r>
        <w:rPr>
          <w:rFonts w:ascii="Calibri" w:hAnsi="Calibri"/>
          <w:color w:val="525866"/>
          <w:sz w:val="22"/>
        </w:rPr>
        <w:t>UDR has significant coastal exposure (~75% of NOI) including San Francisco, New York, and Boston — overlapping with AVB’s key markets.</w:t>
      </w:r>
    </w:p>
    <w:p>
      <w:pPr>
        <w:pStyle w:val="ListBullet"/>
        <w:ind w:left="360" w:hanging="360"/>
      </w:pPr>
      <w:r>
        <w:rPr>
          <w:rFonts w:ascii="Calibri" w:hAnsi="Calibri"/>
          <w:b/>
          <w:color w:val="525866"/>
          <w:sz w:val="22"/>
        </w:rPr>
        <w:t xml:space="preserve">Q2 2026 guidance: </w:t>
      </w:r>
      <w:r>
        <w:rPr>
          <w:rFonts w:ascii="Calibri" w:hAnsi="Calibri"/>
          <w:color w:val="525866"/>
          <w:sz w:val="22"/>
        </w:rPr>
        <w:t>FFO as adjusted per share of $0.62–$0.64 (midpoint $0.63), representing ~2% sequential increase driven by higher NOI and share repurchase accretion.</w:t>
      </w:r>
    </w:p>
    <w:p>
      <w:pPr>
        <w:pStyle w:val="ListBullet"/>
        <w:ind w:left="360" w:hanging="360"/>
      </w:pPr>
      <w:r>
        <w:rPr>
          <w:rFonts w:ascii="Calibri" w:hAnsi="Calibri"/>
          <w:b/>
          <w:color w:val="525866"/>
          <w:sz w:val="22"/>
        </w:rPr>
        <w:t xml:space="preserve">Peer-leading blended rate growth: </w:t>
      </w:r>
      <w:r>
        <w:rPr>
          <w:rFonts w:ascii="Calibri" w:hAnsi="Calibri"/>
          <w:color w:val="525866"/>
          <w:sz w:val="22"/>
        </w:rPr>
        <w:t>Blended lease rate growth of 1.6% in Q1 — described as “highest growth across the peer group on both a relative and absolute basis”; April continuing at 1.6% range, on track for 1.5%–2% H1 guidance.</w:t>
      </w:r>
    </w:p>
    <w:p>
      <w:pPr>
        <w:pStyle w:val="ListBullet"/>
        <w:ind w:left="360" w:hanging="360"/>
      </w:pPr>
      <w:r>
        <w:rPr>
          <w:rFonts w:ascii="Calibri" w:hAnsi="Calibri"/>
          <w:b/>
          <w:color w:val="525866"/>
          <w:sz w:val="22"/>
        </w:rPr>
        <w:t xml:space="preserve">Coastal markets accelerating: </w:t>
      </w:r>
      <w:r>
        <w:rPr>
          <w:rFonts w:ascii="Calibri" w:hAnsi="Calibri"/>
          <w:color w:val="525866"/>
          <w:sz w:val="22"/>
        </w:rPr>
        <w:t>Coastal markets (~75% of NOI) saw ~3.1% blended lease rate growth in April, accelerating from 2.8% in Q1.</w:t>
      </w:r>
    </w:p>
    <w:p>
      <w:pPr>
        <w:pStyle w:val="ListBullet"/>
        <w:ind w:left="360" w:hanging="360"/>
      </w:pPr>
      <w:r>
        <w:rPr>
          <w:rFonts w:ascii="Calibri" w:hAnsi="Calibri"/>
          <w:b/>
          <w:color w:val="525866"/>
          <w:sz w:val="22"/>
        </w:rPr>
        <w:t xml:space="preserve">San Francisco — standout: </w:t>
      </w:r>
      <w:r>
        <w:rPr>
          <w:rFonts w:ascii="Calibri" w:hAnsi="Calibri"/>
          <w:color w:val="525866"/>
          <w:sz w:val="22"/>
        </w:rPr>
        <w:t>~10% blended lease rate growth and occupancy in high 97% range — very strong positive read-through for AVB’s NorCal portfolio.</w:t>
      </w:r>
    </w:p>
    <w:p>
      <w:pPr>
        <w:pStyle w:val="ListBullet"/>
        <w:ind w:left="360" w:hanging="360"/>
      </w:pPr>
      <w:r>
        <w:rPr>
          <w:rFonts w:ascii="Calibri" w:hAnsi="Calibri"/>
          <w:b/>
          <w:color w:val="525866"/>
          <w:sz w:val="22"/>
        </w:rPr>
        <w:t xml:space="preserve">New York — strong: </w:t>
      </w:r>
      <w:r>
        <w:rPr>
          <w:rFonts w:ascii="Calibri" w:hAnsi="Calibri"/>
          <w:color w:val="525866"/>
          <w:sz w:val="22"/>
        </w:rPr>
        <w:t>~7% blended lease rate growth and occupancy above 98% — strong positive for AVB’s NY Metro exposure.</w:t>
      </w:r>
    </w:p>
    <w:p>
      <w:pPr>
        <w:pStyle w:val="ListBullet"/>
        <w:ind w:left="360" w:hanging="360"/>
      </w:pPr>
      <w:r>
        <w:rPr>
          <w:rFonts w:ascii="Calibri" w:hAnsi="Calibri"/>
          <w:b/>
          <w:color w:val="525866"/>
          <w:sz w:val="22"/>
        </w:rPr>
        <w:t xml:space="preserve">Renewal strategy consistent: </w:t>
      </w:r>
      <w:r>
        <w:rPr>
          <w:rFonts w:ascii="Calibri" w:hAnsi="Calibri"/>
          <w:color w:val="525866"/>
          <w:sz w:val="22"/>
        </w:rPr>
        <w:t>Renewal offers through July at 5%–5.5%, expected to sign within 100 bps — consistent with AVB’s renewal strategy.</w:t>
      </w:r>
    </w:p>
    <w:p>
      <w:pPr>
        <w:pStyle w:val="ListBullet"/>
        <w:ind w:left="360" w:hanging="360"/>
      </w:pPr>
      <w:r>
        <w:rPr>
          <w:rFonts w:ascii="Calibri" w:hAnsi="Calibri"/>
          <w:b/>
          <w:color w:val="525866"/>
          <w:sz w:val="22"/>
        </w:rPr>
        <w:t xml:space="preserve">Sunbelt softening: </w:t>
      </w:r>
      <w:r>
        <w:rPr>
          <w:rFonts w:ascii="Calibri" w:hAnsi="Calibri"/>
          <w:color w:val="525866"/>
          <w:sz w:val="22"/>
        </w:rPr>
        <w:t>Some softening in April (Florida, Nashville) but Dallas showing strong momentum with occupancy approaching 97%.</w:t>
      </w:r>
    </w:p>
    <w:p>
      <w:pPr>
        <w:pStyle w:val="ListBullet"/>
        <w:ind w:left="360" w:hanging="360"/>
      </w:pPr>
      <w:r>
        <w:rPr>
          <w:rFonts w:ascii="Calibri" w:hAnsi="Calibri"/>
          <w:b/>
          <w:color w:val="525866"/>
          <w:sz w:val="22"/>
        </w:rPr>
        <w:t xml:space="preserve">Massachusetts rent control risk: </w:t>
      </w:r>
      <w:r>
        <w:rPr>
          <w:rFonts w:ascii="Calibri" w:hAnsi="Calibri"/>
          <w:color w:val="525866"/>
          <w:sz w:val="22"/>
        </w:rPr>
        <w:t>UDR flagging proposed statewide rent control as a concern, contributing ~$0.5M to opposition effort — worth monitoring for AVB’s New England portfolio.</w:t>
      </w:r>
    </w:p>
    <w:p>
      <w:pPr>
        <w:pStyle w:val="Heading3"/>
      </w:pPr>
      <w:r>
        <w:rPr>
          <w:rFonts w:ascii="Calibri" w:hAnsi="Calibri"/>
          <w:b/>
          <w:color w:val="3B4259"/>
          <w:sz w:val="24"/>
        </w:rPr>
        <w:t>Camden Property Trust (CPT) — Q1 2026 Earnings Call (May 1, 2026)</w:t>
      </w:r>
    </w:p>
    <w:p>
      <w:r>
        <w:rPr>
          <w:rFonts w:ascii="Calibri" w:hAnsi="Calibri"/>
          <w:b/>
          <w:color w:val="525866"/>
          <w:sz w:val="22"/>
        </w:rPr>
        <w:t xml:space="preserve">Relevance to AVB: </w:t>
      </w:r>
      <w:r>
        <w:rPr>
          <w:rFonts w:ascii="Calibri" w:hAnsi="Calibri"/>
          <w:color w:val="525866"/>
          <w:sz w:val="22"/>
        </w:rPr>
        <w:t>CPT is primarily Sunbelt-focused but provides useful macro context on supply absorption and demand trends that inform the broader apartment cycle.</w:t>
      </w:r>
    </w:p>
    <w:p>
      <w:pPr>
        <w:pStyle w:val="ListBullet"/>
        <w:ind w:left="360" w:hanging="360"/>
      </w:pPr>
      <w:r>
        <w:rPr>
          <w:rFonts w:ascii="Calibri" w:hAnsi="Calibri"/>
          <w:b/>
          <w:color w:val="525866"/>
          <w:sz w:val="22"/>
        </w:rPr>
        <w:t xml:space="preserve">Q2 2026 Core FFO guidance: </w:t>
      </w:r>
      <w:r>
        <w:rPr>
          <w:rFonts w:ascii="Calibri" w:hAnsi="Calibri"/>
          <w:color w:val="525866"/>
          <w:sz w:val="22"/>
        </w:rPr>
        <w:t>$1.65–$1.69/share (midpoint $1.67), representing $0.03 sequential decline from Q1 due to expense seasonality — a useful reminder that Q2 expense headwinds are a sector-wide dynamic, not AVB-specific.</w:t>
      </w:r>
    </w:p>
    <w:p>
      <w:pPr>
        <w:pStyle w:val="ListBullet"/>
        <w:ind w:left="360" w:hanging="360"/>
      </w:pPr>
      <w:r>
        <w:rPr>
          <w:rFonts w:ascii="Calibri" w:hAnsi="Calibri"/>
          <w:b/>
          <w:color w:val="525866"/>
          <w:sz w:val="22"/>
        </w:rPr>
        <w:t xml:space="preserve">Macro case strong: </w:t>
      </w:r>
      <w:r>
        <w:rPr>
          <w:rFonts w:ascii="Calibri" w:hAnsi="Calibri"/>
          <w:color w:val="525866"/>
          <w:sz w:val="22"/>
        </w:rPr>
        <w:t>“Macro case for improving apartment fundamentals continues to be strong” — new supply peaked and cut in half in most markets.</w:t>
      </w:r>
    </w:p>
    <w:p>
      <w:pPr>
        <w:pStyle w:val="ListBullet"/>
        <w:ind w:left="360" w:hanging="360"/>
      </w:pPr>
      <w:r>
        <w:rPr>
          <w:rFonts w:ascii="Calibri" w:hAnsi="Calibri"/>
          <w:b/>
          <w:color w:val="525866"/>
          <w:sz w:val="22"/>
        </w:rPr>
        <w:t xml:space="preserve">Record absorption: </w:t>
      </w:r>
      <w:r>
        <w:rPr>
          <w:rFonts w:ascii="Calibri" w:hAnsi="Calibri"/>
          <w:color w:val="525866"/>
          <w:sz w:val="22"/>
        </w:rPr>
        <w:t>Q1 apartment net absorption was “one of the best since 2016” despite slow job growth and tepid consumer sentiment — very positive macro signal.</w:t>
      </w:r>
    </w:p>
    <w:p>
      <w:pPr>
        <w:pStyle w:val="ListBullet"/>
        <w:ind w:left="360" w:hanging="360"/>
      </w:pPr>
      <w:r>
        <w:rPr>
          <w:rFonts w:ascii="Calibri" w:hAnsi="Calibri"/>
          <w:b/>
          <w:color w:val="525866"/>
          <w:sz w:val="22"/>
        </w:rPr>
        <w:t xml:space="preserve">April occupancy and rents improving: </w:t>
      </w:r>
      <w:r>
        <w:rPr>
          <w:rFonts w:ascii="Calibri" w:hAnsi="Calibri"/>
          <w:color w:val="525866"/>
          <w:sz w:val="22"/>
        </w:rPr>
        <w:t>April occupancy at 95.4% vs. 95.1% in Q1; blended rates in April up ~100 bps vs. Q1 (which was -1.4%); renewal offers for May/June/July sent at mid-3% range.</w:t>
      </w:r>
    </w:p>
    <w:p>
      <w:pPr>
        <w:pStyle w:val="ListBullet"/>
        <w:ind w:left="360" w:hanging="360"/>
      </w:pPr>
      <w:r>
        <w:rPr>
          <w:rFonts w:ascii="Calibri" w:hAnsi="Calibri"/>
          <w:b/>
          <w:color w:val="525866"/>
          <w:sz w:val="22"/>
        </w:rPr>
        <w:t xml:space="preserve">Supply declining sharply: </w:t>
      </w:r>
      <w:r>
        <w:rPr>
          <w:rFonts w:ascii="Calibri" w:hAnsi="Calibri"/>
          <w:color w:val="525866"/>
          <w:sz w:val="22"/>
        </w:rPr>
        <w:t>Supply in CPT markets down 50% from peak; cadence: 200K completions in 2025 dropping to 140–150K in 2026, 135K in 2027, 120K in 2028 — structural tailwind for the sector.</w:t>
      </w:r>
    </w:p>
    <w:p>
      <w:pPr>
        <w:pStyle w:val="ListBullet"/>
        <w:ind w:left="360" w:hanging="360"/>
      </w:pPr>
      <w:r>
        <w:rPr>
          <w:rFonts w:ascii="Calibri" w:hAnsi="Calibri"/>
          <w:b/>
          <w:color w:val="525866"/>
          <w:sz w:val="22"/>
        </w:rPr>
        <w:t xml:space="preserve">Hockey stick recovery anticipated: </w:t>
      </w:r>
      <w:r>
        <w:rPr>
          <w:rFonts w:ascii="Calibri" w:hAnsi="Calibri"/>
          <w:color w:val="525866"/>
          <w:sz w:val="22"/>
        </w:rPr>
        <w:t>“Hockey stick” recovery anticipated in latter part of 2026 as absorption occurs; expects 2027 to look like post-GFC recovery (NOI up 7–9%).</w:t>
      </w:r>
    </w:p>
    <w:p>
      <w:pPr>
        <w:pStyle w:val="ListBullet"/>
        <w:ind w:left="360" w:hanging="360"/>
      </w:pPr>
      <w:r>
        <w:rPr>
          <w:rFonts w:ascii="Calibri" w:hAnsi="Calibri"/>
          <w:b/>
          <w:color w:val="525866"/>
          <w:sz w:val="22"/>
        </w:rPr>
        <w:t xml:space="preserve">Consumer sentiment headwind: </w:t>
      </w:r>
      <w:r>
        <w:rPr>
          <w:rFonts w:ascii="Calibri" w:hAnsi="Calibri"/>
          <w:color w:val="525866"/>
          <w:sz w:val="22"/>
        </w:rPr>
        <w:t>Consumer sentiment weak despite good fundamentals — causing slower housing decisions; Houston specifically impacted by immigration concerns.</w:t>
      </w:r>
    </w:p>
    <w:p>
      <w:pPr>
        <w:pStyle w:val="Heading3"/>
      </w:pPr>
      <w:r>
        <w:rPr>
          <w:rFonts w:ascii="Calibri" w:hAnsi="Calibri"/>
          <w:b/>
          <w:color w:val="3B4259"/>
          <w:sz w:val="24"/>
        </w:rPr>
        <w:t>Mid-America Apartment Communities (MAA) — Q1 2026 Earnings Call (April 30, 2026)</w:t>
      </w:r>
    </w:p>
    <w:p>
      <w:r>
        <w:rPr>
          <w:rFonts w:ascii="Calibri" w:hAnsi="Calibri"/>
          <w:b/>
          <w:color w:val="525866"/>
          <w:sz w:val="22"/>
        </w:rPr>
        <w:t xml:space="preserve">Relevance to AVB: </w:t>
      </w:r>
      <w:r>
        <w:rPr>
          <w:rFonts w:ascii="Calibri" w:hAnsi="Calibri"/>
          <w:color w:val="525866"/>
          <w:sz w:val="22"/>
        </w:rPr>
        <w:t>MAA is Sunbelt-focused but provides useful contrast to coastal dynamics; its commentary on supply absorption and demand resilience is relevant to AVB’s expansion markets (Southeast).</w:t>
      </w:r>
    </w:p>
    <w:p>
      <w:pPr>
        <w:pStyle w:val="ListBullet"/>
        <w:ind w:left="360" w:hanging="360"/>
      </w:pPr>
      <w:r>
        <w:rPr>
          <w:rFonts w:ascii="Calibri" w:hAnsi="Calibri"/>
          <w:b/>
          <w:color w:val="525866"/>
          <w:sz w:val="22"/>
        </w:rPr>
        <w:t xml:space="preserve">Q2 2026 Core FFO guidance: </w:t>
      </w:r>
      <w:r>
        <w:rPr>
          <w:rFonts w:ascii="Calibri" w:hAnsi="Calibri"/>
          <w:color w:val="525866"/>
          <w:sz w:val="22"/>
        </w:rPr>
        <w:t>$2.00–$2.12/share (midpoint $2.06); reaffirmed full-year midpoint while tightening range.</w:t>
      </w:r>
    </w:p>
    <w:p>
      <w:pPr>
        <w:pStyle w:val="ListBullet"/>
        <w:ind w:left="360" w:hanging="360"/>
      </w:pPr>
      <w:r>
        <w:rPr>
          <w:rFonts w:ascii="Calibri" w:hAnsi="Calibri"/>
          <w:b/>
          <w:color w:val="525866"/>
          <w:sz w:val="22"/>
        </w:rPr>
        <w:t xml:space="preserve">Blended rates improving: </w:t>
      </w:r>
      <w:r>
        <w:rPr>
          <w:rFonts w:ascii="Calibri" w:hAnsi="Calibri"/>
          <w:color w:val="525866"/>
          <w:sz w:val="22"/>
        </w:rPr>
        <w:t>Blended lease-over-lease pricing improved 140 bps from Q4 to Q1; new lease pricing expected to continue accelerating through July.</w:t>
      </w:r>
    </w:p>
    <w:p>
      <w:pPr>
        <w:pStyle w:val="ListBullet"/>
        <w:ind w:left="360" w:hanging="360"/>
      </w:pPr>
      <w:r>
        <w:rPr>
          <w:rFonts w:ascii="Calibri" w:hAnsi="Calibri"/>
          <w:b/>
          <w:color w:val="525866"/>
          <w:sz w:val="22"/>
        </w:rPr>
        <w:t xml:space="preserve">Full-year blended guidance: </w:t>
      </w:r>
      <w:r>
        <w:rPr>
          <w:rFonts w:ascii="Calibri" w:hAnsi="Calibri"/>
          <w:color w:val="525866"/>
          <w:sz w:val="22"/>
        </w:rPr>
        <w:t>1%–1.5% blended for the full year; to achieve this, last 3 quarters need ~1.3%–1.8% blended — requires continued seasonal improvement.</w:t>
      </w:r>
    </w:p>
    <w:p>
      <w:pPr>
        <w:pStyle w:val="ListBullet"/>
        <w:ind w:left="360" w:hanging="360"/>
      </w:pPr>
      <w:r>
        <w:rPr>
          <w:rFonts w:ascii="Calibri" w:hAnsi="Calibri"/>
          <w:b/>
          <w:color w:val="525866"/>
          <w:sz w:val="22"/>
        </w:rPr>
        <w:t xml:space="preserve">Renewals strong: </w:t>
      </w:r>
      <w:r>
        <w:rPr>
          <w:rFonts w:ascii="Calibri" w:hAnsi="Calibri"/>
          <w:color w:val="525866"/>
          <w:sz w:val="22"/>
        </w:rPr>
        <w:t>Renewal rates expected to remain in 5%+ range; strong renewal performance continuing into Q2.</w:t>
      </w:r>
    </w:p>
    <w:p>
      <w:pPr>
        <w:pStyle w:val="ListBullet"/>
        <w:ind w:left="360" w:hanging="360"/>
      </w:pPr>
      <w:r>
        <w:rPr>
          <w:rFonts w:ascii="Calibri" w:hAnsi="Calibri"/>
          <w:b/>
          <w:color w:val="525866"/>
          <w:sz w:val="22"/>
        </w:rPr>
        <w:t xml:space="preserve">Supply declining: </w:t>
      </w:r>
      <w:r>
        <w:rPr>
          <w:rFonts w:ascii="Calibri" w:hAnsi="Calibri"/>
          <w:color w:val="525866"/>
          <w:sz w:val="22"/>
        </w:rPr>
        <w:t>Deliveries in MAA’s region down 40% from last year; absorption exceeding new deliveries in Q1.</w:t>
      </w:r>
    </w:p>
    <w:p>
      <w:pPr>
        <w:pStyle w:val="ListBullet"/>
        <w:ind w:left="360" w:hanging="360"/>
      </w:pPr>
      <w:r>
        <w:rPr>
          <w:rFonts w:ascii="Calibri" w:hAnsi="Calibri"/>
          <w:b/>
          <w:color w:val="525866"/>
          <w:sz w:val="22"/>
        </w:rPr>
        <w:t xml:space="preserve">Demand resilient: </w:t>
      </w:r>
      <w:r>
        <w:rPr>
          <w:rFonts w:ascii="Calibri" w:hAnsi="Calibri"/>
          <w:color w:val="525866"/>
          <w:sz w:val="22"/>
        </w:rPr>
        <w:t>Lead volume ahead of last year despite economic uncertainty; job growth, migration, and population growth outperforming other regions by 2–3x.</w:t>
      </w:r>
    </w:p>
    <w:p>
      <w:pPr>
        <w:pStyle w:val="ListBullet"/>
        <w:ind w:left="360" w:hanging="360"/>
      </w:pPr>
      <w:r>
        <w:rPr>
          <w:rFonts w:ascii="Calibri" w:hAnsi="Calibri"/>
          <w:b/>
          <w:color w:val="525866"/>
          <w:sz w:val="22"/>
        </w:rPr>
        <w:t xml:space="preserve">Concessions ticking down: </w:t>
      </w:r>
      <w:r>
        <w:rPr>
          <w:rFonts w:ascii="Calibri" w:hAnsi="Calibri"/>
          <w:color w:val="525866"/>
          <w:sz w:val="22"/>
        </w:rPr>
        <w:t>Competitors offering concessions declining slightly in April — early sign of market tightening.</w:t>
      </w:r>
    </w:p>
    <w:p>
      <w:pPr>
        <w:pStyle w:val="ListBullet"/>
        <w:ind w:left="360" w:hanging="360"/>
      </w:pPr>
      <w:r>
        <w:rPr>
          <w:rFonts w:ascii="Calibri" w:hAnsi="Calibri"/>
          <w:b/>
          <w:color w:val="525866"/>
          <w:sz w:val="22"/>
        </w:rPr>
        <w:t xml:space="preserve">Market leaders: </w:t>
      </w:r>
      <w:r>
        <w:rPr>
          <w:rFonts w:ascii="Calibri" w:hAnsi="Calibri"/>
          <w:color w:val="525866"/>
          <w:sz w:val="22"/>
        </w:rPr>
        <w:t>Atlanta, Dallas, Orlando outperforming portfolio in blended lease pricing in Q1; Charlotte a 2027 recovery story.</w:t>
      </w:r>
    </w:p>
    <w:p>
      <w:pPr>
        <w:pStyle w:val="Heading3"/>
      </w:pPr>
      <w:r>
        <w:rPr>
          <w:rFonts w:ascii="Calibri" w:hAnsi="Calibri"/>
          <w:b/>
          <w:color w:val="3B4259"/>
          <w:sz w:val="24"/>
        </w:rPr>
        <w:t>Overall Read-Through Summary for AVB Q2 2026</w:t>
      </w:r>
    </w:p>
    <w:p>
      <w:r>
        <w:rPr>
          <w:rFonts w:ascii="Calibri" w:hAnsi="Calibri"/>
          <w:i/>
          <w:color w:val="525866"/>
          <w:sz w:val="22"/>
        </w:rPr>
        <w:t xml:space="preserve">The peer commentary is broadly constructive for AVB’s Q2 print. The consistent theme across ESS, EQR, and UDR is that April blended rates accelerated meaningfully from Q1 levels (ESS: north of 3%, UDR coastal: 3.1%, EQR: sequential build with renewal quotes at just over 6%), which is directly supportive of AVB’s H1 blended rent change target of 1.25%. San Francisco and New York — two of AVB’s strongest markets — are showing exceptional performance across all peers, with UDR reporting ~10% blended lease rate growth in SF and ~7% in NY. The supply backdrop is improving structurally across all geographies, with deliveries down 35%–40% YoY in coastal markets. The main risks are: (1) </w:t>
      </w:r>
      <w:r>
        <w:rPr>
          <w:rFonts w:ascii="Calibri" w:hAnsi="Calibri"/>
          <w:b/>
          <w:i/>
          <w:color w:val="525866"/>
          <w:sz w:val="22"/>
        </w:rPr>
        <w:t>expense timing</w:t>
      </w:r>
      <w:r>
        <w:rPr>
          <w:rFonts w:ascii="Calibri" w:hAnsi="Calibri"/>
          <w:i/>
          <w:color w:val="525866"/>
          <w:sz w:val="22"/>
        </w:rPr>
        <w:t xml:space="preserve"> (80% of Q1 beat was deferred costs expected to hit in Q2–Q4, a headwind flagged by multiple peers as well); (2) </w:t>
      </w:r>
      <w:r>
        <w:rPr>
          <w:rFonts w:ascii="Calibri" w:hAnsi="Calibri"/>
          <w:b/>
          <w:i/>
          <w:color w:val="525866"/>
          <w:sz w:val="22"/>
        </w:rPr>
        <w:t>weaker markets</w:t>
      </w:r>
      <w:r>
        <w:rPr>
          <w:rFonts w:ascii="Calibri" w:hAnsi="Calibri"/>
          <w:i/>
          <w:color w:val="525866"/>
          <w:sz w:val="22"/>
        </w:rPr>
        <w:t xml:space="preserve"> (Boston, LA, Seattle underperforming across the peer group); and (3) </w:t>
      </w:r>
      <w:r>
        <w:rPr>
          <w:rFonts w:ascii="Calibri" w:hAnsi="Calibri"/>
          <w:b/>
          <w:i/>
          <w:color w:val="525866"/>
          <w:sz w:val="22"/>
        </w:rPr>
        <w:t>merger-related management distraction</w:t>
      </w:r>
      <w:r>
        <w:rPr>
          <w:rFonts w:ascii="Calibri" w:hAnsi="Calibri"/>
          <w:i/>
          <w:color w:val="525866"/>
          <w:sz w:val="22"/>
        </w:rPr>
        <w:t xml:space="preserve"> (unique to AVB given the pending EQR transaction).</w:t>
      </w:r>
    </w:p>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The AVB/EQR merger of equals announced May 21, 2026 is the dominant development since Q1 earnings — it fundamentally changes the investment thesis from standalone fundamentals to deal execution and combined entity value creation.</w:t>
      </w:r>
    </w:p>
    <w:p>
      <w:pPr>
        <w:pStyle w:val="ListBullet"/>
        <w:ind w:left="360" w:hanging="360"/>
      </w:pPr>
      <w:r>
        <w:rPr>
          <w:rFonts w:ascii="Calibri" w:hAnsi="Calibri"/>
          <w:b/>
          <w:color w:val="525866"/>
          <w:sz w:val="22"/>
        </w:rPr>
        <w:t xml:space="preserve">May 21, 2026 — AVB/EQR Merger of Equals Announced: </w:t>
      </w:r>
      <w:r>
        <w:rPr>
          <w:rFonts w:ascii="Calibri" w:hAnsi="Calibri"/>
          <w:color w:val="525866"/>
          <w:sz w:val="22"/>
        </w:rPr>
        <w:t xml:space="preserve">AVB and EQR announced an all-stock merger of equals creating a combined entity with ~$52B equity market cap and ~$69B enterprise value with 180,000+ apartments. AVB shareholders receive 2.793 EQR shares per AVB share (fixed exchange ratio). Ben Schall (EQR CEO) to lead combined company with dual headquarters in Arlington, VA and Chicago, IL. Transaction expected to close 2H 2026, subject to shareholder approval. Tax-free reorganization under Section 368(a). Combined company expected to pay initial annualized dividend of $2.81/share. </w:t>
      </w:r>
      <w:r>
        <w:rPr>
          <w:rFonts w:ascii="Calibri" w:hAnsi="Calibri"/>
          <w:i/>
          <w:color w:val="525866"/>
          <w:sz w:val="22"/>
        </w:rPr>
        <w:t>Implication: AVB is now effectively a merger arbitrage situation; standalone Q2 results matter less than deal timeline and integration planning.</w:t>
      </w:r>
    </w:p>
    <w:p>
      <w:pPr>
        <w:pStyle w:val="ListBullet"/>
        <w:ind w:left="360" w:hanging="360"/>
      </w:pPr>
      <w:r>
        <w:rPr>
          <w:rFonts w:ascii="Calibri" w:hAnsi="Calibri"/>
          <w:b/>
          <w:color w:val="525866"/>
          <w:sz w:val="22"/>
        </w:rPr>
        <w:t xml:space="preserve">April 27, 2026 — Q1 2026 Earnings Beat: </w:t>
      </w:r>
      <w:r>
        <w:rPr>
          <w:rFonts w:ascii="Calibri" w:hAnsi="Calibri"/>
          <w:color w:val="525866"/>
          <w:sz w:val="22"/>
        </w:rPr>
        <w:t xml:space="preserve">Beat Core FFO consensus by ~$0.05 ($2.83 vs. ~$2.80 consensus); same-store residential revenue +1.6% YoY; management affirmed full-year guidance rather than raising, citing desire to see peak leasing season. Development NOI and share buybacks contributed to the beat. </w:t>
      </w:r>
      <w:r>
        <w:rPr>
          <w:rFonts w:ascii="Calibri" w:hAnsi="Calibri"/>
          <w:i/>
          <w:color w:val="525866"/>
          <w:sz w:val="22"/>
        </w:rPr>
        <w:t>Expense timing (80% of beat) flagged as a headwind for remaining quarters.</w:t>
      </w:r>
    </w:p>
    <w:p>
      <w:pPr>
        <w:pStyle w:val="ListBullet"/>
        <w:ind w:left="360" w:hanging="360"/>
      </w:pPr>
      <w:r>
        <w:rPr>
          <w:rFonts w:ascii="Calibri" w:hAnsi="Calibri"/>
          <w:b/>
          <w:color w:val="525866"/>
          <w:sz w:val="22"/>
        </w:rPr>
        <w:t xml:space="preserve">April 27, 2026 — Q2 2026 Guidance Provided: </w:t>
      </w:r>
      <w:r>
        <w:rPr>
          <w:rFonts w:ascii="Calibri" w:hAnsi="Calibri"/>
          <w:color w:val="525866"/>
          <w:sz w:val="22"/>
        </w:rPr>
        <w:t>Core FFO guidance of $2.72–$2.82/share (midpoint $2.77); same-store residential revenue expected to contribute $0.02 sequentially while opex expected to be a $0.04 headwind vs. Q1.</w:t>
      </w:r>
    </w:p>
    <w:p>
      <w:pPr>
        <w:pStyle w:val="ListBullet"/>
        <w:ind w:left="360" w:hanging="360"/>
      </w:pPr>
      <w:r>
        <w:rPr>
          <w:rFonts w:ascii="Calibri" w:hAnsi="Calibri"/>
          <w:b/>
          <w:color w:val="525866"/>
          <w:sz w:val="22"/>
        </w:rPr>
        <w:t xml:space="preserve">Ongoing — Development Pipeline Ramping: </w:t>
      </w:r>
      <w:r>
        <w:rPr>
          <w:rFonts w:ascii="Calibri" w:hAnsi="Calibri"/>
          <w:color w:val="525866"/>
          <w:sz w:val="22"/>
        </w:rPr>
        <w:t>$3.5B of development underway at 6.3% projected initial stabilized yield; $800M of planned 2026 starts at 6.5%–7% yields; development NOI expected to ramp from $47M in 2026 to $120M in 2027. Strong lease-up velocity of 32 units/month vs. historical 23/month, at rents slightly above pro forma.</w:t>
      </w:r>
    </w:p>
    <w:p>
      <w:pPr>
        <w:pStyle w:val="ListBullet"/>
        <w:ind w:left="360" w:hanging="360"/>
      </w:pPr>
      <w:r>
        <w:rPr>
          <w:rFonts w:ascii="Calibri" w:hAnsi="Calibri"/>
          <w:b/>
          <w:color w:val="525866"/>
          <w:sz w:val="22"/>
        </w:rPr>
        <w:t xml:space="preserve">No Analyst Rating Changes Found: </w:t>
      </w:r>
      <w:r>
        <w:rPr>
          <w:rFonts w:ascii="Calibri" w:hAnsi="Calibri"/>
          <w:color w:val="525866"/>
          <w:sz w:val="22"/>
        </w:rPr>
        <w:t>No upgrade or downgrade activity was identified in the post-Q1 earnings period through July 21, 2026.</w:t>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All insider transactions since Q1 earnings are non-cash stock awards (Form 4 code “A”) to directors — no open-market buys or sells were recorded, which is unsurprising given the pending merger announcement and associated trading restrictions. Nothing notable to flag.</w:t>
      </w:r>
    </w:p>
    <w:p>
      <w:r>
        <w:rPr>
          <w:rFonts w:ascii="Calibri" w:hAnsi="Calibri"/>
          <w:b/>
          <w:color w:val="525866"/>
          <w:sz w:val="22"/>
        </w:rPr>
        <w:t xml:space="preserve">Note: </w:t>
      </w:r>
      <w:r>
        <w:rPr>
          <w:rFonts w:ascii="Calibri" w:hAnsi="Calibri"/>
          <w:i/>
          <w:color w:val="525866"/>
          <w:sz w:val="22"/>
        </w:rPr>
        <w:t>Open-market buys and sells only (Form 4 codes P/S) are the primary signal; the transactions below are all non-cash equity compensation awards (code A) and carry no directional signal. The absence of discretionary insider activity is consistent with trading blackout restrictions typically imposed around material non-public information (the merger announcement).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Date (Effective)</w:t>
            </w:r>
          </w:p>
        </w:tc>
        <w:tc>
          <w:tcPr>
            <w:tcW w:type="dxa" w:w="1234"/>
            <w:shd w:val="clear" w:color="auto" w:fill="3B4259"/>
          </w:tcPr>
          <w:p>
            <w:r>
              <w:rPr>
                <w:rFonts w:ascii="Calibri" w:hAnsi="Calibri"/>
                <w:b/>
                <w:color w:val="FFFFFF"/>
                <w:sz w:val="22"/>
              </w:rPr>
              <w:t>Date (Disclosed)</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Multiple Directors (11 individuals)</w:t>
            </w:r>
          </w:p>
        </w:tc>
        <w:tc>
          <w:tcPr>
            <w:tcW w:type="dxa" w:w="1234"/>
          </w:tcPr>
          <w:p>
            <w:r>
              <w:rPr>
                <w:rFonts w:ascii="Calibri" w:hAnsi="Calibri"/>
                <w:sz w:val="22"/>
              </w:rPr>
              <w:t>Director</w:t>
            </w:r>
          </w:p>
        </w:tc>
        <w:tc>
          <w:tcPr>
            <w:tcW w:type="dxa" w:w="1234"/>
          </w:tcPr>
          <w:p>
            <w:r>
              <w:rPr>
                <w:rFonts w:ascii="Calibri" w:hAnsi="Calibri"/>
                <w:sz w:val="22"/>
              </w:rPr>
              <w:t>Stock Award (Code A)</w:t>
            </w:r>
          </w:p>
        </w:tc>
        <w:tc>
          <w:tcPr>
            <w:tcW w:type="dxa" w:w="1234"/>
          </w:tcPr>
          <w:p>
            <w:r>
              <w:rPr>
                <w:rFonts w:ascii="Calibri" w:hAnsi="Calibri"/>
                <w:sz w:val="22"/>
              </w:rPr>
              <w:t>1,082 each</w:t>
            </w:r>
          </w:p>
        </w:tc>
        <w:tc>
          <w:tcPr>
            <w:tcW w:type="dxa" w:w="1234"/>
          </w:tcPr>
          <w:p>
            <w:r>
              <w:rPr>
                <w:rFonts w:ascii="Calibri" w:hAnsi="Calibri"/>
                <w:sz w:val="22"/>
              </w:rPr>
              <w:t>May 28, 2026</w:t>
            </w:r>
          </w:p>
        </w:tc>
        <w:tc>
          <w:tcPr>
            <w:tcW w:type="dxa" w:w="1234"/>
          </w:tcPr>
          <w:p>
            <w:r>
              <w:rPr>
                <w:rFonts w:ascii="Calibri" w:hAnsi="Calibri"/>
                <w:sz w:val="22"/>
              </w:rPr>
              <w:t>June 1, 2026</w:t>
            </w:r>
          </w:p>
        </w:tc>
        <w:tc>
          <w:tcPr>
            <w:tcW w:type="dxa" w:w="1234"/>
          </w:tcPr>
          <w:p>
            <w:r>
              <w:rPr>
                <w:rFonts w:ascii="Calibri" w:hAnsi="Calibri"/>
                <w:sz w:val="22"/>
              </w:rPr>
              <w:t>Annual director equity compensation; non-cash, not open-market</w:t>
            </w:r>
          </w:p>
        </w:tc>
      </w:tr>
      <w:tr>
        <w:tc>
          <w:tcPr>
            <w:tcW w:type="dxa" w:w="1234"/>
          </w:tcPr>
          <w:p>
            <w:r>
              <w:rPr>
                <w:rFonts w:ascii="Calibri" w:hAnsi="Calibri"/>
                <w:sz w:val="22"/>
              </w:rPr>
              <w:t>Brown, Terry S.</w:t>
            </w:r>
          </w:p>
        </w:tc>
        <w:tc>
          <w:tcPr>
            <w:tcW w:type="dxa" w:w="1234"/>
          </w:tcPr>
          <w:p>
            <w:r>
              <w:rPr>
                <w:rFonts w:ascii="Calibri" w:hAnsi="Calibri"/>
                <w:sz w:val="22"/>
              </w:rPr>
              <w:t>Director</w:t>
            </w:r>
          </w:p>
        </w:tc>
        <w:tc>
          <w:tcPr>
            <w:tcW w:type="dxa" w:w="1234"/>
          </w:tcPr>
          <w:p>
            <w:r>
              <w:rPr>
                <w:rFonts w:ascii="Calibri" w:hAnsi="Calibri"/>
                <w:sz w:val="22"/>
              </w:rPr>
              <w:t>Stock Award (Code A)</w:t>
            </w:r>
          </w:p>
        </w:tc>
        <w:tc>
          <w:tcPr>
            <w:tcW w:type="dxa" w:w="1234"/>
          </w:tcPr>
          <w:p>
            <w:r>
              <w:rPr>
                <w:rFonts w:ascii="Calibri" w:hAnsi="Calibri"/>
                <w:sz w:val="22"/>
              </w:rPr>
              <w:t>203</w:t>
            </w:r>
          </w:p>
        </w:tc>
        <w:tc>
          <w:tcPr>
            <w:tcW w:type="dxa" w:w="1234"/>
          </w:tcPr>
          <w:p>
            <w:r>
              <w:rPr>
                <w:rFonts w:ascii="Calibri" w:hAnsi="Calibri"/>
                <w:sz w:val="22"/>
              </w:rPr>
              <w:t>May 19, 2026</w:t>
            </w:r>
          </w:p>
        </w:tc>
        <w:tc>
          <w:tcPr>
            <w:tcW w:type="dxa" w:w="1234"/>
          </w:tcPr>
          <w:p>
            <w:r>
              <w:rPr>
                <w:rFonts w:ascii="Calibri" w:hAnsi="Calibri"/>
                <w:sz w:val="22"/>
              </w:rPr>
              <w:t>May 21, 2026</w:t>
            </w:r>
          </w:p>
        </w:tc>
        <w:tc>
          <w:tcPr>
            <w:tcW w:type="dxa" w:w="1234"/>
          </w:tcPr>
          <w:p>
            <w:r>
              <w:rPr>
                <w:rFonts w:ascii="Calibri" w:hAnsi="Calibri"/>
                <w:sz w:val="22"/>
              </w:rPr>
              <w:t>Director equity award; non-cash; disclosed same day as merger announcement</w:t>
            </w:r>
          </w:p>
        </w:tc>
      </w:tr>
      <w:tr>
        <w:tc>
          <w:tcPr>
            <w:tcW w:type="dxa" w:w="1234"/>
          </w:tcPr>
          <w:p>
            <w:r>
              <w:rPr>
                <w:rFonts w:ascii="Calibri" w:hAnsi="Calibri"/>
                <w:sz w:val="22"/>
              </w:rPr>
              <w:t>Flynn, Conor C.</w:t>
            </w:r>
          </w:p>
        </w:tc>
        <w:tc>
          <w:tcPr>
            <w:tcW w:type="dxa" w:w="1234"/>
          </w:tcPr>
          <w:p>
            <w:r>
              <w:rPr>
                <w:rFonts w:ascii="Calibri" w:hAnsi="Calibri"/>
                <w:sz w:val="22"/>
              </w:rPr>
              <w:t>Director</w:t>
            </w:r>
          </w:p>
        </w:tc>
        <w:tc>
          <w:tcPr>
            <w:tcW w:type="dxa" w:w="1234"/>
          </w:tcPr>
          <w:p>
            <w:r>
              <w:rPr>
                <w:rFonts w:ascii="Calibri" w:hAnsi="Calibri"/>
                <w:sz w:val="22"/>
              </w:rPr>
              <w:t>Stock Award (Code A)</w:t>
            </w:r>
          </w:p>
        </w:tc>
        <w:tc>
          <w:tcPr>
            <w:tcW w:type="dxa" w:w="1234"/>
          </w:tcPr>
          <w:p>
            <w:r>
              <w:rPr>
                <w:rFonts w:ascii="Calibri" w:hAnsi="Calibri"/>
                <w:sz w:val="22"/>
              </w:rPr>
              <w:t>135</w:t>
            </w:r>
          </w:p>
        </w:tc>
        <w:tc>
          <w:tcPr>
            <w:tcW w:type="dxa" w:w="1234"/>
          </w:tcPr>
          <w:p>
            <w:r>
              <w:rPr>
                <w:rFonts w:ascii="Calibri" w:hAnsi="Calibri"/>
                <w:sz w:val="22"/>
              </w:rPr>
              <w:t>May 19, 2026</w:t>
            </w:r>
          </w:p>
        </w:tc>
        <w:tc>
          <w:tcPr>
            <w:tcW w:type="dxa" w:w="1234"/>
          </w:tcPr>
          <w:p>
            <w:r>
              <w:rPr>
                <w:rFonts w:ascii="Calibri" w:hAnsi="Calibri"/>
                <w:sz w:val="22"/>
              </w:rPr>
              <w:t>May 21, 2026</w:t>
            </w:r>
          </w:p>
        </w:tc>
        <w:tc>
          <w:tcPr>
            <w:tcW w:type="dxa" w:w="1234"/>
          </w:tcPr>
          <w:p>
            <w:r>
              <w:rPr>
                <w:rFonts w:ascii="Calibri" w:hAnsi="Calibri"/>
                <w:sz w:val="22"/>
              </w:rPr>
              <w:t>Director equity award; non-cash; pre-planned compensation</w:t>
            </w:r>
          </w:p>
        </w:tc>
      </w:tr>
      <w:tr>
        <w:tc>
          <w:tcPr>
            <w:tcW w:type="dxa" w:w="1234"/>
          </w:tcPr>
          <w:p>
            <w:r>
              <w:rPr>
                <w:rFonts w:ascii="Calibri" w:hAnsi="Calibri"/>
                <w:sz w:val="22"/>
              </w:rPr>
              <w:t>Havner, Ronald L. Jr.</w:t>
            </w:r>
          </w:p>
        </w:tc>
        <w:tc>
          <w:tcPr>
            <w:tcW w:type="dxa" w:w="1234"/>
          </w:tcPr>
          <w:p>
            <w:r>
              <w:rPr>
                <w:rFonts w:ascii="Calibri" w:hAnsi="Calibri"/>
                <w:sz w:val="22"/>
              </w:rPr>
              <w:t>Director</w:t>
            </w:r>
          </w:p>
        </w:tc>
        <w:tc>
          <w:tcPr>
            <w:tcW w:type="dxa" w:w="1234"/>
          </w:tcPr>
          <w:p>
            <w:r>
              <w:rPr>
                <w:rFonts w:ascii="Calibri" w:hAnsi="Calibri"/>
                <w:sz w:val="22"/>
              </w:rPr>
              <w:t>Stock Award (Code A)</w:t>
            </w:r>
          </w:p>
        </w:tc>
        <w:tc>
          <w:tcPr>
            <w:tcW w:type="dxa" w:w="1234"/>
          </w:tcPr>
          <w:p>
            <w:r>
              <w:rPr>
                <w:rFonts w:ascii="Calibri" w:hAnsi="Calibri"/>
                <w:sz w:val="22"/>
              </w:rPr>
              <w:t>135</w:t>
            </w:r>
          </w:p>
        </w:tc>
        <w:tc>
          <w:tcPr>
            <w:tcW w:type="dxa" w:w="1234"/>
          </w:tcPr>
          <w:p>
            <w:r>
              <w:rPr>
                <w:rFonts w:ascii="Calibri" w:hAnsi="Calibri"/>
                <w:sz w:val="22"/>
              </w:rPr>
              <w:t>May 19, 2026</w:t>
            </w:r>
          </w:p>
        </w:tc>
        <w:tc>
          <w:tcPr>
            <w:tcW w:type="dxa" w:w="1234"/>
          </w:tcPr>
          <w:p>
            <w:r>
              <w:rPr>
                <w:rFonts w:ascii="Calibri" w:hAnsi="Calibri"/>
                <w:sz w:val="22"/>
              </w:rPr>
              <w:t>May 21, 2026</w:t>
            </w:r>
          </w:p>
        </w:tc>
        <w:tc>
          <w:tcPr>
            <w:tcW w:type="dxa" w:w="1234"/>
          </w:tcPr>
          <w:p>
            <w:r>
              <w:rPr>
                <w:rFonts w:ascii="Calibri" w:hAnsi="Calibri"/>
                <w:sz w:val="22"/>
              </w:rPr>
              <w:t>Director equity award; non-cash; pre-planned compensation</w:t>
            </w:r>
          </w:p>
        </w:tc>
      </w:tr>
      <w:tr>
        <w:tc>
          <w:tcPr>
            <w:tcW w:type="dxa" w:w="1234"/>
          </w:tcPr>
          <w:p>
            <w:r>
              <w:rPr>
                <w:rFonts w:ascii="Calibri" w:hAnsi="Calibri"/>
                <w:sz w:val="22"/>
              </w:rPr>
              <w:t>Howard, Christopher B.</w:t>
            </w:r>
          </w:p>
        </w:tc>
        <w:tc>
          <w:tcPr>
            <w:tcW w:type="dxa" w:w="1234"/>
          </w:tcPr>
          <w:p>
            <w:r>
              <w:rPr>
                <w:rFonts w:ascii="Calibri" w:hAnsi="Calibri"/>
                <w:sz w:val="22"/>
              </w:rPr>
              <w:t>Director</w:t>
            </w:r>
          </w:p>
        </w:tc>
        <w:tc>
          <w:tcPr>
            <w:tcW w:type="dxa" w:w="1234"/>
          </w:tcPr>
          <w:p>
            <w:r>
              <w:rPr>
                <w:rFonts w:ascii="Calibri" w:hAnsi="Calibri"/>
                <w:sz w:val="22"/>
              </w:rPr>
              <w:t>Stock Award (Code A)</w:t>
            </w:r>
          </w:p>
        </w:tc>
        <w:tc>
          <w:tcPr>
            <w:tcW w:type="dxa" w:w="1234"/>
          </w:tcPr>
          <w:p>
            <w:r>
              <w:rPr>
                <w:rFonts w:ascii="Calibri" w:hAnsi="Calibri"/>
                <w:sz w:val="22"/>
              </w:rPr>
              <w:t>135</w:t>
            </w:r>
          </w:p>
        </w:tc>
        <w:tc>
          <w:tcPr>
            <w:tcW w:type="dxa" w:w="1234"/>
          </w:tcPr>
          <w:p>
            <w:r>
              <w:rPr>
                <w:rFonts w:ascii="Calibri" w:hAnsi="Calibri"/>
                <w:sz w:val="22"/>
              </w:rPr>
              <w:t>May 19, 2026</w:t>
            </w:r>
          </w:p>
        </w:tc>
        <w:tc>
          <w:tcPr>
            <w:tcW w:type="dxa" w:w="1234"/>
          </w:tcPr>
          <w:p>
            <w:r>
              <w:rPr>
                <w:rFonts w:ascii="Calibri" w:hAnsi="Calibri"/>
                <w:sz w:val="22"/>
              </w:rPr>
              <w:t>May 21, 2026</w:t>
            </w:r>
          </w:p>
        </w:tc>
        <w:tc>
          <w:tcPr>
            <w:tcW w:type="dxa" w:w="1234"/>
          </w:tcPr>
          <w:p>
            <w:r>
              <w:rPr>
                <w:rFonts w:ascii="Calibri" w:hAnsi="Calibri"/>
                <w:sz w:val="22"/>
              </w:rPr>
              <w:t>Director equity award; non-cash; pre-planned compensation</w:t>
            </w:r>
          </w:p>
        </w:tc>
      </w:tr>
      <w:tr>
        <w:tc>
          <w:tcPr>
            <w:tcW w:type="dxa" w:w="1234"/>
          </w:tcPr>
          <w:p>
            <w:r>
              <w:rPr>
                <w:rFonts w:ascii="Calibri" w:hAnsi="Calibri"/>
                <w:sz w:val="22"/>
              </w:rPr>
              <w:t>Mueller, Charles E. Jr.</w:t>
            </w:r>
          </w:p>
        </w:tc>
        <w:tc>
          <w:tcPr>
            <w:tcW w:type="dxa" w:w="1234"/>
          </w:tcPr>
          <w:p>
            <w:r>
              <w:rPr>
                <w:rFonts w:ascii="Calibri" w:hAnsi="Calibri"/>
                <w:sz w:val="22"/>
              </w:rPr>
              <w:t>Director</w:t>
            </w:r>
          </w:p>
        </w:tc>
        <w:tc>
          <w:tcPr>
            <w:tcW w:type="dxa" w:w="1234"/>
          </w:tcPr>
          <w:p>
            <w:r>
              <w:rPr>
                <w:rFonts w:ascii="Calibri" w:hAnsi="Calibri"/>
                <w:sz w:val="22"/>
              </w:rPr>
              <w:t>Stock Award (Code A)</w:t>
            </w:r>
          </w:p>
        </w:tc>
        <w:tc>
          <w:tcPr>
            <w:tcW w:type="dxa" w:w="1234"/>
          </w:tcPr>
          <w:p>
            <w:r>
              <w:rPr>
                <w:rFonts w:ascii="Calibri" w:hAnsi="Calibri"/>
                <w:sz w:val="22"/>
              </w:rPr>
              <w:t>176</w:t>
            </w:r>
          </w:p>
        </w:tc>
        <w:tc>
          <w:tcPr>
            <w:tcW w:type="dxa" w:w="1234"/>
          </w:tcPr>
          <w:p>
            <w:r>
              <w:rPr>
                <w:rFonts w:ascii="Calibri" w:hAnsi="Calibri"/>
                <w:sz w:val="22"/>
              </w:rPr>
              <w:t>May 19, 2026</w:t>
            </w:r>
          </w:p>
        </w:tc>
        <w:tc>
          <w:tcPr>
            <w:tcW w:type="dxa" w:w="1234"/>
          </w:tcPr>
          <w:p>
            <w:r>
              <w:rPr>
                <w:rFonts w:ascii="Calibri" w:hAnsi="Calibri"/>
                <w:sz w:val="22"/>
              </w:rPr>
              <w:t>May 21, 2026</w:t>
            </w:r>
          </w:p>
        </w:tc>
        <w:tc>
          <w:tcPr>
            <w:tcW w:type="dxa" w:w="1234"/>
          </w:tcPr>
          <w:p>
            <w:r>
              <w:rPr>
                <w:rFonts w:ascii="Calibri" w:hAnsi="Calibri"/>
                <w:sz w:val="22"/>
              </w:rPr>
              <w:t>Director equity award; non-cash; pre-planned compensation</w:t>
            </w:r>
          </w:p>
        </w:tc>
      </w:tr>
    </w:tbl>
    <w:p>
      <w:r>
        <w:rPr>
          <w:rFonts w:ascii="Calibri" w:hAnsi="Calibri"/>
          <w:i/>
          <w:color w:val="525866"/>
          <w:sz w:val="22"/>
        </w:rPr>
        <w:t xml:space="preserve">Source: SEC Form 4 filings (Insider Transaction Data). </w:t>
      </w:r>
      <w:r>
        <w:rPr>
          <w:rFonts w:ascii="Calibri" w:hAnsi="Calibri"/>
          <w:i/>
          <w:color w:val="525866"/>
          <w:sz w:val="22"/>
        </w:rPr>
        <w:t>Zero open-market buys or sells (Form 4 codes P/S) were recorded in the post-Q1 earnings period through July 21, 2026. The May 19 awards were disclosed on May 21 — the same day as the merger announcement — suggesting these were pre-planned compensation awards unrelated to the deal. The absence of discretionary insider activity is consistent with trading blackout restrictions typically imposed around material non-public information.</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