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AvalonBay Communities (AVB)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AvalonBay Communities, Inc.</w:t>
            </w:r>
          </w:p>
        </w:tc>
      </w:tr>
      <w:tr>
        <w:tc>
          <w:tcPr>
            <w:tcW w:type="dxa" w:w="4320"/>
          </w:tcPr>
          <w:p>
            <w:r>
              <w:rPr>
                <w:rFonts w:ascii="Calibri" w:hAnsi="Calibri"/>
                <w:b/>
                <w:sz w:val="22"/>
              </w:rPr>
              <w:t>Ticker</w:t>
            </w:r>
          </w:p>
        </w:tc>
        <w:tc>
          <w:tcPr>
            <w:tcW w:type="dxa" w:w="4320"/>
          </w:tcPr>
          <w:p>
            <w:r>
              <w:rPr>
                <w:rFonts w:ascii="Calibri" w:hAnsi="Calibri"/>
                <w:sz w:val="22"/>
              </w:rPr>
              <w:t>AVB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TBD (expected late July / early August 2026)</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Sector ETF Benchmark</w:t>
            </w:r>
          </w:p>
        </w:tc>
        <w:tc>
          <w:tcPr>
            <w:tcW w:type="dxa" w:w="4320"/>
          </w:tcPr>
          <w:p>
            <w:r>
              <w:rPr>
                <w:rFonts w:ascii="Calibri" w:hAnsi="Calibri"/>
                <w:sz w:val="22"/>
              </w:rPr>
              <w:t>VNQ (Vanguard Real Estate ETF — Residential REIT sub-sector)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Core FFO of </w:t>
      </w:r>
      <w:r>
        <w:rPr>
          <w:rFonts w:ascii="Calibri" w:hAnsi="Calibri"/>
          <w:b/>
          <w:color w:val="525866"/>
          <w:sz w:val="22"/>
        </w:rPr>
        <w:t>$2.81/share</w:t>
      </w:r>
      <w:r>
        <w:rPr>
          <w:rFonts w:ascii="Calibri" w:hAnsi="Calibri"/>
          <w:color w:val="525866"/>
          <w:sz w:val="22"/>
        </w:rPr>
        <w:t xml:space="preserve"> is an achievable bar given peak-leasing tailwinds, but the </w:t>
      </w:r>
      <w:r>
        <w:rPr>
          <w:rFonts w:ascii="Calibri" w:hAnsi="Calibri"/>
          <w:b/>
          <w:color w:val="525866"/>
          <w:sz w:val="22"/>
        </w:rPr>
        <w:t>AVB-EQR merger announcement</w:t>
      </w:r>
      <w:r>
        <w:rPr>
          <w:rFonts w:ascii="Calibri" w:hAnsi="Calibri"/>
          <w:color w:val="525866"/>
          <w:sz w:val="22"/>
        </w:rPr>
        <w:t xml:space="preserve"> dominates the narrative and introduces execution and integration uncertainty that may overshadow the operating print.</w:t>
      </w:r>
    </w:p>
    <w:p>
      <w:r>
        <w:rPr>
          <w:rFonts w:ascii="Calibri" w:hAnsi="Calibri"/>
          <w:color w:val="525866"/>
          <w:sz w:val="22"/>
        </w:rPr>
        <w:t xml:space="preserve">Heading into Q2 2026, AvalonBay's operating fundamentals are tracking constructively: occupancy has been running north of 96%, asking rents have risen in the high-4% range year-to-date, and renewal offers for May and June were sent at 5%–5.5% increases — roughly 100 bps above February/March levels. The Q1 2026 beat was driven predominantly by expense timing (~80% of the outperformance), meaning those deferred costs are expected to flow through in Q2 and H2, creating a modest headwind to the sequential trajectory. Management affirmed full-year Core FFO guidance at the Q1 print rather than raising it, a deliberately cautious posture that leaves the bar achievable but not stretched. The </w:t>
      </w:r>
      <w:r>
        <w:rPr>
          <w:rFonts w:ascii="Calibri" w:hAnsi="Calibri"/>
          <w:b/>
          <w:color w:val="525866"/>
          <w:sz w:val="22"/>
        </w:rPr>
        <w:t>transformative merger with Equity Residential</w:t>
      </w:r>
      <w:r>
        <w:rPr>
          <w:rFonts w:ascii="Calibri" w:hAnsi="Calibri"/>
          <w:color w:val="525866"/>
          <w:sz w:val="22"/>
        </w:rPr>
        <w:t xml:space="preserve"> (agreement signed May 20, disclosed May 21, expected to close H2 2026) is the single biggest overhang: it constrains capital allocation, caps the quarterly dividend at $1.78/share, and introduces $50M of estimated property-tax reassessment costs (primarily California), partially offset by $125M of projected net run-rate synergies. The wildcard is whether peak-leasing momentum — particularly in New York Metro and Northern California — is strong enough to prompt a guidance raise on the Q2 call, which would be the first clear signal that the standalone earnings trajectory is intact ahead of the merger close.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Core FFO of $2.81/share sits at the midpoint of Q2 guidance ($2.72–$2.82), making it a </w:t>
      </w:r>
      <w:r>
        <w:rPr>
          <w:rFonts w:ascii="Calibri" w:hAnsi="Calibri"/>
          <w:b/>
          <w:color w:val="525866"/>
          <w:sz w:val="22"/>
        </w:rPr>
        <w:t>fair bar</w:t>
      </w:r>
      <w:r>
        <w:rPr>
          <w:rFonts w:ascii="Calibri" w:hAnsi="Calibri"/>
          <w:color w:val="525866"/>
          <w:sz w:val="22"/>
        </w:rPr>
        <w:t>. Same-store NOI growth is the bigger swing factor — consensus is essentially flat (roughly −0.03% YoY) and any positive surprise there would be the most meaningful beat signal.</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Core FFO per Share — Diluted ($)</w:t>
            </w:r>
          </w:p>
        </w:tc>
        <w:tc>
          <w:tcPr>
            <w:tcW w:type="dxa" w:w="1234"/>
          </w:tcPr>
          <w:p>
            <w:r>
              <w:rPr>
                <w:rFonts w:ascii="Calibri" w:hAnsi="Calibri"/>
                <w:sz w:val="22"/>
              </w:rPr>
              <w:t>2.83</w:t>
            </w:r>
          </w:p>
        </w:tc>
        <w:tc>
          <w:tcPr>
            <w:tcW w:type="dxa" w:w="1234"/>
          </w:tcPr>
          <w:p>
            <w:r>
              <w:rPr>
                <w:rFonts w:ascii="Calibri" w:hAnsi="Calibri"/>
                <w:sz w:val="22"/>
              </w:rPr>
              <w:t>2.82</w:t>
            </w:r>
          </w:p>
        </w:tc>
        <w:tc>
          <w:tcPr>
            <w:tcW w:type="dxa" w:w="1234"/>
          </w:tcPr>
          <w:p>
            <w:r>
              <w:rPr>
                <w:rFonts w:ascii="Calibri" w:hAnsi="Calibri"/>
                <w:sz w:val="22"/>
              </w:rPr>
              <w:t>2.811</w:t>
            </w:r>
          </w:p>
        </w:tc>
        <w:tc>
          <w:tcPr>
            <w:tcW w:type="dxa" w:w="1234"/>
          </w:tcPr>
          <w:p>
            <w:r>
              <w:rPr>
                <w:rFonts w:ascii="Calibri" w:hAnsi="Calibri"/>
                <w:sz w:val="22"/>
              </w:rPr>
              <w:t>+≈0.0% YoY</w:t>
            </w:r>
          </w:p>
        </w:tc>
        <w:tc>
          <w:tcPr>
            <w:tcW w:type="dxa" w:w="1234"/>
          </w:tcPr>
          <w:p>
            <w:r>
              <w:rPr>
                <w:rFonts w:ascii="Calibri" w:hAnsi="Calibri"/>
                <w:sz w:val="22"/>
              </w:rPr>
              <w:t>$2.72 – $2.82 (mid: $2.77)</w:t>
            </w:r>
          </w:p>
        </w:tc>
        <w:tc>
          <w:tcPr>
            <w:tcW w:type="dxa" w:w="1234"/>
          </w:tcPr>
          <w:p>
            <w:r>
              <w:rPr>
                <w:rFonts w:ascii="Calibri" w:hAnsi="Calibri"/>
                <w:sz w:val="22"/>
              </w:rPr>
              <w:t>+1.5% above mid</w:t>
            </w:r>
          </w:p>
        </w:tc>
      </w:tr>
      <w:tr>
        <w:tc>
          <w:tcPr>
            <w:tcW w:type="dxa" w:w="1234"/>
          </w:tcPr>
          <w:p>
            <w:r>
              <w:rPr>
                <w:rFonts w:ascii="Calibri" w:hAnsi="Calibri"/>
                <w:sz w:val="22"/>
              </w:rPr>
              <w:t>Same-Store NOI Growth — Residential (% YoY)</w:t>
            </w:r>
          </w:p>
        </w:tc>
        <w:tc>
          <w:tcPr>
            <w:tcW w:type="dxa" w:w="1234"/>
          </w:tcPr>
          <w:p>
            <w:r>
              <w:rPr>
                <w:rFonts w:ascii="Calibri" w:hAnsi="Calibri"/>
                <w:sz w:val="22"/>
              </w:rPr>
              <w:t>+0.2%</w:t>
            </w:r>
          </w:p>
        </w:tc>
        <w:tc>
          <w:tcPr>
            <w:tcW w:type="dxa" w:w="1234"/>
          </w:tcPr>
          <w:p>
            <w:r>
              <w:rPr>
                <w:rFonts w:ascii="Calibri" w:hAnsi="Calibri"/>
                <w:sz w:val="22"/>
              </w:rPr>
              <w:t>+2.7%</w:t>
            </w:r>
          </w:p>
        </w:tc>
        <w:tc>
          <w:tcPr>
            <w:tcW w:type="dxa" w:w="1234"/>
          </w:tcPr>
          <w:p>
            <w:r>
              <w:rPr>
                <w:rFonts w:ascii="Calibri" w:hAnsi="Calibri"/>
                <w:sz w:val="22"/>
              </w:rPr>
              <w:t>−0.03%</w:t>
            </w:r>
          </w:p>
        </w:tc>
        <w:tc>
          <w:tcPr>
            <w:tcW w:type="dxa" w:w="1234"/>
          </w:tcPr>
          <w:p>
            <w:r>
              <w:rPr>
                <w:rFonts w:ascii="Calibri" w:hAnsi="Calibri"/>
                <w:sz w:val="22"/>
              </w:rPr>
              <w:t>−72 bps YoY</w:t>
            </w:r>
          </w:p>
        </w:tc>
        <w:tc>
          <w:tcPr>
            <w:tcW w:type="dxa" w:w="1234"/>
          </w:tcPr>
          <w:p>
            <w:r>
              <w:rPr>
                <w:rFonts w:ascii="Calibri" w:hAnsi="Calibri"/>
                <w:sz w:val="22"/>
              </w:rPr>
              <w:t>N/A — no explicit Q2 SS NOI guidance provided</w:t>
            </w:r>
          </w:p>
        </w:tc>
        <w:tc>
          <w:tcPr>
            <w:tcW w:type="dxa" w:w="1234"/>
          </w:tcPr>
          <w:p>
            <w:r>
              <w:rPr>
                <w:rFonts w:ascii="Calibri" w:hAnsi="Calibri"/>
                <w:sz w:val="22"/>
              </w:rPr>
              <w:t>N/A</w:t>
            </w:r>
          </w:p>
        </w:tc>
      </w:tr>
      <w:tr>
        <w:tc>
          <w:tcPr>
            <w:tcW w:type="dxa" w:w="1234"/>
          </w:tcPr>
          <w:p>
            <w:r>
              <w:rPr>
                <w:rFonts w:ascii="Calibri" w:hAnsi="Calibri"/>
                <w:sz w:val="22"/>
              </w:rPr>
              <w:t>Same-Store Revenue Growth — Residential (% YoY)</w:t>
            </w:r>
          </w:p>
        </w:tc>
        <w:tc>
          <w:tcPr>
            <w:tcW w:type="dxa" w:w="1234"/>
          </w:tcPr>
          <w:p>
            <w:r>
              <w:rPr>
                <w:rFonts w:ascii="Calibri" w:hAnsi="Calibri"/>
                <w:sz w:val="22"/>
              </w:rPr>
              <w:t>+1.6%</w:t>
            </w:r>
          </w:p>
        </w:tc>
        <w:tc>
          <w:tcPr>
            <w:tcW w:type="dxa" w:w="1234"/>
          </w:tcPr>
          <w:p>
            <w:r>
              <w:rPr>
                <w:rFonts w:ascii="Calibri" w:hAnsi="Calibri"/>
                <w:sz w:val="22"/>
              </w:rPr>
              <w:t>+3.0%</w:t>
            </w:r>
          </w:p>
        </w:tc>
        <w:tc>
          <w:tcPr>
            <w:tcW w:type="dxa" w:w="1234"/>
          </w:tcPr>
          <w:p>
            <w:r>
              <w:rPr>
                <w:rFonts w:ascii="Calibri" w:hAnsi="Calibri"/>
                <w:sz w:val="22"/>
              </w:rPr>
              <w:t>+1.38%</w:t>
            </w:r>
          </w:p>
        </w:tc>
        <w:tc>
          <w:tcPr>
            <w:tcW w:type="dxa" w:w="1234"/>
          </w:tcPr>
          <w:p>
            <w:r>
              <w:rPr>
                <w:rFonts w:ascii="Calibri" w:hAnsi="Calibri"/>
                <w:sz w:val="22"/>
              </w:rPr>
              <w:t>−162 bps YoY</w:t>
            </w:r>
          </w:p>
        </w:tc>
        <w:tc>
          <w:tcPr>
            <w:tcW w:type="dxa" w:w="1234"/>
          </w:tcPr>
          <w:p>
            <w:r>
              <w:rPr>
                <w:rFonts w:ascii="Calibri" w:hAnsi="Calibri"/>
                <w:sz w:val="22"/>
              </w:rPr>
              <w:t>N/A — full-year SS rev growth guided at ~2.5%</w:t>
            </w:r>
          </w:p>
        </w:tc>
        <w:tc>
          <w:tcPr>
            <w:tcW w:type="dxa" w:w="1234"/>
          </w:tcPr>
          <w:p>
            <w:r>
              <w:rPr>
                <w:rFonts w:ascii="Calibri" w:hAnsi="Calibri"/>
                <w:sz w:val="22"/>
              </w:rPr>
              <w:t>N/A</w:t>
            </w:r>
          </w:p>
        </w:tc>
      </w:tr>
      <w:tr>
        <w:tc>
          <w:tcPr>
            <w:tcW w:type="dxa" w:w="1234"/>
          </w:tcPr>
          <w:p>
            <w:r>
              <w:rPr>
                <w:rFonts w:ascii="Calibri" w:hAnsi="Calibri"/>
                <w:sz w:val="22"/>
              </w:rPr>
              <w:t>Same-Store Expense Growth — Residential (% YoY)</w:t>
            </w:r>
          </w:p>
        </w:tc>
        <w:tc>
          <w:tcPr>
            <w:tcW w:type="dxa" w:w="1234"/>
          </w:tcPr>
          <w:p>
            <w:r>
              <w:rPr>
                <w:rFonts w:ascii="Calibri" w:hAnsi="Calibri"/>
                <w:sz w:val="22"/>
              </w:rPr>
              <w:t>+4.7%</w:t>
            </w:r>
          </w:p>
        </w:tc>
        <w:tc>
          <w:tcPr>
            <w:tcW w:type="dxa" w:w="1234"/>
          </w:tcPr>
          <w:p>
            <w:r>
              <w:rPr>
                <w:rFonts w:ascii="Calibri" w:hAnsi="Calibri"/>
                <w:sz w:val="22"/>
              </w:rPr>
              <w:t>+3.6%</w:t>
            </w:r>
          </w:p>
        </w:tc>
        <w:tc>
          <w:tcPr>
            <w:tcW w:type="dxa" w:w="1234"/>
          </w:tcPr>
          <w:p>
            <w:r>
              <w:rPr>
                <w:rFonts w:ascii="Calibri" w:hAnsi="Calibri"/>
                <w:sz w:val="22"/>
              </w:rPr>
              <w:t>+4.64%</w:t>
            </w:r>
          </w:p>
        </w:tc>
        <w:tc>
          <w:tcPr>
            <w:tcW w:type="dxa" w:w="1234"/>
          </w:tcPr>
          <w:p>
            <w:r>
              <w:rPr>
                <w:rFonts w:ascii="Calibri" w:hAnsi="Calibri"/>
                <w:sz w:val="22"/>
              </w:rPr>
              <w:t>+104 bps YoY</w:t>
            </w:r>
          </w:p>
        </w:tc>
        <w:tc>
          <w:tcPr>
            <w:tcW w:type="dxa" w:w="1234"/>
          </w:tcPr>
          <w:p>
            <w:r>
              <w:rPr>
                <w:rFonts w:ascii="Calibri" w:hAnsi="Calibri"/>
                <w:sz w:val="22"/>
              </w:rPr>
              <w:t>N/A — deferred Q1 costs expected to flow through</w:t>
            </w:r>
          </w:p>
        </w:tc>
        <w:tc>
          <w:tcPr>
            <w:tcW w:type="dxa" w:w="1234"/>
          </w:tcPr>
          <w:p>
            <w:r>
              <w:rPr>
                <w:rFonts w:ascii="Calibri" w:hAnsi="Calibri"/>
                <w:sz w:val="22"/>
              </w:rPr>
              <w:t>N/A</w:t>
            </w:r>
          </w:p>
        </w:tc>
      </w:tr>
      <w:tr>
        <w:tc>
          <w:tcPr>
            <w:tcW w:type="dxa" w:w="1234"/>
          </w:tcPr>
          <w:p>
            <w:r>
              <w:rPr>
                <w:rFonts w:ascii="Calibri" w:hAnsi="Calibri"/>
                <w:sz w:val="22"/>
              </w:rPr>
              <w:t>Same-Store Occupancy — Residential (%)</w:t>
            </w:r>
          </w:p>
        </w:tc>
        <w:tc>
          <w:tcPr>
            <w:tcW w:type="dxa" w:w="1234"/>
          </w:tcPr>
          <w:p>
            <w:r>
              <w:rPr>
                <w:rFonts w:ascii="Calibri" w:hAnsi="Calibri"/>
                <w:sz w:val="22"/>
              </w:rPr>
              <w:t>96.1%</w:t>
            </w:r>
          </w:p>
        </w:tc>
        <w:tc>
          <w:tcPr>
            <w:tcW w:type="dxa" w:w="1234"/>
          </w:tcPr>
          <w:p>
            <w:r>
              <w:rPr>
                <w:rFonts w:ascii="Calibri" w:hAnsi="Calibri"/>
                <w:sz w:val="22"/>
              </w:rPr>
              <w:t>96.2%</w:t>
            </w:r>
          </w:p>
        </w:tc>
        <w:tc>
          <w:tcPr>
            <w:tcW w:type="dxa" w:w="1234"/>
          </w:tcPr>
          <w:p>
            <w:r>
              <w:rPr>
                <w:rFonts w:ascii="Calibri" w:hAnsi="Calibri"/>
                <w:sz w:val="22"/>
              </w:rPr>
              <w:t>96.03%</w:t>
            </w:r>
          </w:p>
        </w:tc>
        <w:tc>
          <w:tcPr>
            <w:tcW w:type="dxa" w:w="1234"/>
          </w:tcPr>
          <w:p>
            <w:r>
              <w:rPr>
                <w:rFonts w:ascii="Calibri" w:hAnsi="Calibri"/>
                <w:sz w:val="22"/>
              </w:rPr>
              <w:t>−17 bps YoY</w:t>
            </w:r>
          </w:p>
        </w:tc>
        <w:tc>
          <w:tcPr>
            <w:tcW w:type="dxa" w:w="1234"/>
          </w:tcPr>
          <w:p>
            <w:r>
              <w:rPr>
                <w:rFonts w:ascii="Calibri" w:hAnsi="Calibri"/>
                <w:sz w:val="22"/>
              </w:rPr>
              <w:t>N/A — occupancy tracking “north of 96%” per mgmt</w:t>
            </w:r>
          </w:p>
        </w:tc>
        <w:tc>
          <w:tcPr>
            <w:tcW w:type="dxa" w:w="1234"/>
          </w:tcPr>
          <w:p>
            <w:r>
              <w:rPr>
                <w:rFonts w:ascii="Calibri" w:hAnsi="Calibri"/>
                <w:sz w:val="22"/>
              </w:rPr>
              <w:t>N/A</w:t>
            </w:r>
          </w:p>
        </w:tc>
      </w:tr>
      <w:tr>
        <w:tc>
          <w:tcPr>
            <w:tcW w:type="dxa" w:w="1234"/>
          </w:tcPr>
          <w:p>
            <w:r>
              <w:rPr>
                <w:rFonts w:ascii="Calibri" w:hAnsi="Calibri"/>
                <w:sz w:val="22"/>
              </w:rPr>
              <w:t>Effective Blended Lease Rate — Same-Store (%)</w:t>
            </w:r>
          </w:p>
        </w:tc>
        <w:tc>
          <w:tcPr>
            <w:tcW w:type="dxa" w:w="1234"/>
          </w:tcPr>
          <w:p>
            <w:r>
              <w:rPr>
                <w:rFonts w:ascii="Calibri" w:hAnsi="Calibri"/>
                <w:sz w:val="22"/>
              </w:rPr>
              <w:t>+0.4%</w:t>
            </w:r>
          </w:p>
        </w:tc>
        <w:tc>
          <w:tcPr>
            <w:tcW w:type="dxa" w:w="1234"/>
          </w:tcPr>
          <w:p>
            <w:r>
              <w:rPr>
                <w:rFonts w:ascii="Calibri" w:hAnsi="Calibri"/>
                <w:sz w:val="22"/>
              </w:rPr>
              <w:t>+2.5%</w:t>
            </w:r>
          </w:p>
        </w:tc>
        <w:tc>
          <w:tcPr>
            <w:tcW w:type="dxa" w:w="1234"/>
          </w:tcPr>
          <w:p>
            <w:r>
              <w:rPr>
                <w:rFonts w:ascii="Calibri" w:hAnsi="Calibri"/>
                <w:sz w:val="22"/>
              </w:rPr>
              <w:t>+2.15%</w:t>
            </w:r>
          </w:p>
        </w:tc>
        <w:tc>
          <w:tcPr>
            <w:tcW w:type="dxa" w:w="1234"/>
          </w:tcPr>
          <w:p>
            <w:r>
              <w:rPr>
                <w:rFonts w:ascii="Calibri" w:hAnsi="Calibri"/>
                <w:sz w:val="22"/>
              </w:rPr>
              <w:t>−35 bps vs. Q2 2025</w:t>
            </w:r>
          </w:p>
        </w:tc>
        <w:tc>
          <w:tcPr>
            <w:tcW w:type="dxa" w:w="1234"/>
          </w:tcPr>
          <w:p>
            <w:r>
              <w:rPr>
                <w:rFonts w:ascii="Calibri" w:hAnsi="Calibri"/>
                <w:sz w:val="22"/>
              </w:rPr>
              <w:t>Full-year avg ~2%; H1 guided at 1.25%</w:t>
            </w:r>
          </w:p>
        </w:tc>
        <w:tc>
          <w:tcPr>
            <w:tcW w:type="dxa" w:w="1234"/>
          </w:tcPr>
          <w:p>
            <w:r>
              <w:rPr>
                <w:rFonts w:ascii="Calibri" w:hAnsi="Calibri"/>
                <w:sz w:val="22"/>
              </w:rPr>
              <w:t>Consensus above H1 guide; tracking H2 ramp</w:t>
            </w:r>
          </w:p>
        </w:tc>
      </w:tr>
    </w:tbl>
    <w:p>
      <w:r>
        <w:rPr>
          <w:rFonts w:ascii="Calibri" w:hAnsi="Calibri"/>
          <w:i/>
          <w:color w:val="525866"/>
          <w:sz w:val="22"/>
        </w:rPr>
        <w:t>Sources: Visible Alpha Consensus and Actuals Data</w:t>
      </w:r>
      <w:r>
        <w:rPr>
          <w:rFonts w:ascii="Calibri" w:hAnsi="Calibri"/>
          <w:i/>
          <w:color w:val="525866"/>
          <w:sz w:val="22"/>
        </w:rPr>
        <w:t>; Q1 2026 Earnings Release (April 27, 2026); Q1 2026 Earnings Call Transcript.</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Core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2.77</w:t>
            </w:r>
          </w:p>
        </w:tc>
        <w:tc>
          <w:tcPr>
            <w:tcW w:type="dxa" w:w="1728"/>
          </w:tcPr>
          <w:p>
            <w:r>
              <w:rPr>
                <w:rFonts w:ascii="Calibri" w:hAnsi="Calibri"/>
                <w:sz w:val="22"/>
              </w:rPr>
              <w:t>2.72</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2.74</w:t>
            </w:r>
          </w:p>
        </w:tc>
        <w:tc>
          <w:tcPr>
            <w:tcW w:type="dxa" w:w="1728"/>
          </w:tcPr>
          <w:p>
            <w:r>
              <w:rPr>
                <w:rFonts w:ascii="Calibri" w:hAnsi="Calibri"/>
                <w:sz w:val="22"/>
              </w:rPr>
              <w:t>2.73</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2.80</w:t>
            </w:r>
          </w:p>
        </w:tc>
        <w:tc>
          <w:tcPr>
            <w:tcW w:type="dxa" w:w="1728"/>
          </w:tcPr>
          <w:p>
            <w:r>
              <w:rPr>
                <w:rFonts w:ascii="Calibri" w:hAnsi="Calibri"/>
                <w:sz w:val="22"/>
              </w:rPr>
              <w:t>2.84</w:t>
            </w:r>
          </w:p>
        </w:tc>
        <w:tc>
          <w:tcPr>
            <w:tcW w:type="dxa" w:w="1728"/>
          </w:tcPr>
          <w:p>
            <w:r>
              <w:rPr>
                <w:rFonts w:ascii="Calibri" w:hAnsi="Calibri"/>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2.83</w:t>
            </w:r>
          </w:p>
        </w:tc>
        <w:tc>
          <w:tcPr>
            <w:tcW w:type="dxa" w:w="1728"/>
          </w:tcPr>
          <w:p>
            <w:r>
              <w:rPr>
                <w:rFonts w:ascii="Calibri" w:hAnsi="Calibri"/>
                <w:sz w:val="22"/>
              </w:rPr>
              <w:t>2.81</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2.82</w:t>
            </w:r>
          </w:p>
        </w:tc>
        <w:tc>
          <w:tcPr>
            <w:tcW w:type="dxa" w:w="1728"/>
          </w:tcPr>
          <w:p>
            <w:r>
              <w:rPr>
                <w:rFonts w:ascii="Calibri" w:hAnsi="Calibri"/>
                <w:sz w:val="22"/>
              </w:rPr>
              <w:t>2.81</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2.75</w:t>
            </w:r>
          </w:p>
        </w:tc>
        <w:tc>
          <w:tcPr>
            <w:tcW w:type="dxa" w:w="1728"/>
          </w:tcPr>
          <w:p>
            <w:r>
              <w:rPr>
                <w:rFonts w:ascii="Calibri" w:hAnsi="Calibri"/>
                <w:sz w:val="22"/>
              </w:rPr>
              <w:t>2.81</w:t>
            </w:r>
          </w:p>
        </w:tc>
        <w:tc>
          <w:tcPr>
            <w:tcW w:type="dxa" w:w="1728"/>
          </w:tcPr>
          <w:p>
            <w:r>
              <w:rPr>
                <w:rFonts w:ascii="Calibri" w:hAnsi="Calibri"/>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2.85</w:t>
            </w:r>
          </w:p>
        </w:tc>
        <w:tc>
          <w:tcPr>
            <w:tcW w:type="dxa" w:w="1728"/>
          </w:tcPr>
          <w:p>
            <w:r>
              <w:rPr>
                <w:rFonts w:ascii="Calibri" w:hAnsi="Calibri"/>
                <w:sz w:val="22"/>
              </w:rPr>
              <w:t>2.85</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2.83</w:t>
            </w:r>
          </w:p>
        </w:tc>
        <w:tc>
          <w:tcPr>
            <w:tcW w:type="dxa" w:w="1728"/>
          </w:tcPr>
          <w:p>
            <w:r>
              <w:rPr>
                <w:rFonts w:ascii="Calibri" w:hAnsi="Calibri"/>
                <w:sz w:val="22"/>
              </w:rPr>
              <w:t>2.80</w:t>
            </w:r>
          </w:p>
        </w:tc>
        <w:tc>
          <w:tcPr>
            <w:tcW w:type="dxa" w:w="1728"/>
          </w:tcPr>
          <w:p>
            <w:r>
              <w:rPr>
                <w:rFonts w:ascii="Calibri" w:hAnsi="Calibri"/>
                <w:sz w:val="22"/>
              </w:rPr>
              <w:t>+1.1%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AVB has beaten Core FFO consensus in 5 of the last 8 quarters, with the two misses (Q4 2024, Q3 2025) both driven by expense overruns or softer-than-expected revenue — the same dynamic that could recur in Q2 2026 as deferred Q1 expenses flow through.</w:t>
      </w:r>
    </w:p>
    <w:p>
      <w:pPr>
        <w:pStyle w:val="Heading3"/>
      </w:pPr>
      <w:r>
        <w:rPr>
          <w:rFonts w:ascii="Calibri" w:hAnsi="Calibri"/>
          <w:b/>
          <w:color w:val="3B4259"/>
          <w:sz w:val="24"/>
        </w:rPr>
        <w:t>Same-Store NOI Growth — Residential (% YoY)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3.0%</w:t>
            </w:r>
          </w:p>
        </w:tc>
        <w:tc>
          <w:tcPr>
            <w:tcW w:type="dxa" w:w="1728"/>
          </w:tcPr>
          <w:p>
            <w:r>
              <w:rPr>
                <w:rFonts w:ascii="Calibri" w:hAnsi="Calibri"/>
                <w:sz w:val="22"/>
              </w:rPr>
              <w:t>2.0%</w:t>
            </w:r>
          </w:p>
        </w:tc>
        <w:tc>
          <w:tcPr>
            <w:tcW w:type="dxa" w:w="1728"/>
          </w:tcPr>
          <w:p>
            <w:r>
              <w:rPr>
                <w:rFonts w:ascii="Calibri" w:hAnsi="Calibri"/>
                <w:sz w:val="22"/>
              </w:rPr>
              <w:t>+98 bps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2.0%</w:t>
            </w:r>
          </w:p>
        </w:tc>
        <w:tc>
          <w:tcPr>
            <w:tcW w:type="dxa" w:w="1728"/>
          </w:tcPr>
          <w:p>
            <w:r>
              <w:rPr>
                <w:rFonts w:ascii="Calibri" w:hAnsi="Calibri"/>
                <w:sz w:val="22"/>
              </w:rPr>
              <w:t>2.2%</w:t>
            </w:r>
          </w:p>
        </w:tc>
        <w:tc>
          <w:tcPr>
            <w:tcW w:type="dxa" w:w="1728"/>
          </w:tcPr>
          <w:p>
            <w:r>
              <w:rPr>
                <w:rFonts w:ascii="Calibri" w:hAnsi="Calibri"/>
                <w:sz w:val="22"/>
              </w:rPr>
              <w:t>−24 bps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2.3%</w:t>
            </w:r>
          </w:p>
        </w:tc>
        <w:tc>
          <w:tcPr>
            <w:tcW w:type="dxa" w:w="1728"/>
          </w:tcPr>
          <w:p>
            <w:r>
              <w:rPr>
                <w:rFonts w:ascii="Calibri" w:hAnsi="Calibri"/>
                <w:sz w:val="22"/>
              </w:rPr>
              <w:t>3.2%</w:t>
            </w:r>
          </w:p>
        </w:tc>
        <w:tc>
          <w:tcPr>
            <w:tcW w:type="dxa" w:w="1728"/>
          </w:tcPr>
          <w:p>
            <w:r>
              <w:rPr>
                <w:rFonts w:ascii="Calibri" w:hAnsi="Calibri"/>
                <w:sz w:val="22"/>
              </w:rPr>
              <w:t>−89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2.6%</w:t>
            </w:r>
          </w:p>
        </w:tc>
        <w:tc>
          <w:tcPr>
            <w:tcW w:type="dxa" w:w="1728"/>
          </w:tcPr>
          <w:p>
            <w:r>
              <w:rPr>
                <w:rFonts w:ascii="Calibri" w:hAnsi="Calibri"/>
                <w:sz w:val="22"/>
              </w:rPr>
              <w:t>2.3%</w:t>
            </w:r>
          </w:p>
        </w:tc>
        <w:tc>
          <w:tcPr>
            <w:tcW w:type="dxa" w:w="1728"/>
          </w:tcPr>
          <w:p>
            <w:r>
              <w:rPr>
                <w:rFonts w:ascii="Calibri" w:hAnsi="Calibri"/>
                <w:sz w:val="22"/>
              </w:rPr>
              <w:t>+27 bps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2.7%</w:t>
            </w:r>
          </w:p>
        </w:tc>
        <w:tc>
          <w:tcPr>
            <w:tcW w:type="dxa" w:w="1728"/>
          </w:tcPr>
          <w:p>
            <w:r>
              <w:rPr>
                <w:rFonts w:ascii="Calibri" w:hAnsi="Calibri"/>
                <w:sz w:val="22"/>
              </w:rPr>
              <w:t>1.6%</w:t>
            </w:r>
          </w:p>
        </w:tc>
        <w:tc>
          <w:tcPr>
            <w:tcW w:type="dxa" w:w="1728"/>
          </w:tcPr>
          <w:p>
            <w:r>
              <w:rPr>
                <w:rFonts w:ascii="Calibri" w:hAnsi="Calibri"/>
                <w:sz w:val="22"/>
              </w:rPr>
              <w:t>+114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1.1%</w:t>
            </w:r>
          </w:p>
        </w:tc>
        <w:tc>
          <w:tcPr>
            <w:tcW w:type="dxa" w:w="1728"/>
          </w:tcPr>
          <w:p>
            <w:r>
              <w:rPr>
                <w:rFonts w:ascii="Calibri" w:hAnsi="Calibri"/>
                <w:sz w:val="22"/>
              </w:rPr>
              <w:t>2.5%</w:t>
            </w:r>
          </w:p>
        </w:tc>
        <w:tc>
          <w:tcPr>
            <w:tcW w:type="dxa" w:w="1728"/>
          </w:tcPr>
          <w:p>
            <w:r>
              <w:rPr>
                <w:rFonts w:ascii="Calibri" w:hAnsi="Calibri"/>
                <w:sz w:val="22"/>
              </w:rPr>
              <w:t>−145 bps</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1.3%</w:t>
            </w:r>
          </w:p>
        </w:tc>
        <w:tc>
          <w:tcPr>
            <w:tcW w:type="dxa" w:w="1728"/>
          </w:tcPr>
          <w:p>
            <w:r>
              <w:rPr>
                <w:rFonts w:ascii="Calibri" w:hAnsi="Calibri"/>
                <w:sz w:val="22"/>
              </w:rPr>
              <w:t>1.5%</w:t>
            </w:r>
          </w:p>
        </w:tc>
        <w:tc>
          <w:tcPr>
            <w:tcW w:type="dxa" w:w="1728"/>
          </w:tcPr>
          <w:p>
            <w:r>
              <w:rPr>
                <w:rFonts w:ascii="Calibri" w:hAnsi="Calibri"/>
                <w:sz w:val="22"/>
              </w:rPr>
              <w:t>−19 bps</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0.2%</w:t>
            </w:r>
          </w:p>
        </w:tc>
        <w:tc>
          <w:tcPr>
            <w:tcW w:type="dxa" w:w="1728"/>
          </w:tcPr>
          <w:p>
            <w:r>
              <w:rPr>
                <w:rFonts w:ascii="Calibri" w:hAnsi="Calibri"/>
                <w:sz w:val="22"/>
              </w:rPr>
              <w:t>0.07%</w:t>
            </w:r>
          </w:p>
        </w:tc>
        <w:tc>
          <w:tcPr>
            <w:tcW w:type="dxa" w:w="1728"/>
          </w:tcPr>
          <w:p>
            <w:r>
              <w:rPr>
                <w:rFonts w:ascii="Calibri" w:hAnsi="Calibri"/>
                <w:sz w:val="22"/>
              </w:rPr>
              <w:t>+13 bps</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SS NOI growth has been highly volatile vs. consensus — 4 beats and 4 misses over 8 quarters — with the misses concentrated in H2 2024 and H2 2025 when expense growth surprised to the upside. With Q2 2026 consensus at essentially flat YoY, the bar is low enough that even modest revenue outperformance could flip this to a beat.</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affirmed full-year Core FFO guidance at Q1 earnings (April 27) rather than raising it, citing expense timing and early-season caution. The </w:t>
      </w:r>
      <w:r>
        <w:rPr>
          <w:rFonts w:ascii="Calibri" w:hAnsi="Calibri"/>
          <w:b/>
          <w:color w:val="525866"/>
          <w:sz w:val="22"/>
        </w:rPr>
        <w:t>AVB-EQR merger announcement (May 21)</w:t>
      </w:r>
      <w:r>
        <w:rPr>
          <w:rFonts w:ascii="Calibri" w:hAnsi="Calibri"/>
          <w:color w:val="525866"/>
          <w:sz w:val="22"/>
        </w:rPr>
        <w:t xml:space="preserve"> is the only material post-earnings event; it caps the quarterly dividend at $1.78/share and constrains capital allocation but does not alter standalone operating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Core FFO/Share</w:t>
            </w:r>
          </w:p>
        </w:tc>
        <w:tc>
          <w:tcPr>
            <w:tcW w:type="dxa" w:w="1728"/>
          </w:tcPr>
          <w:p>
            <w:r>
              <w:rPr>
                <w:rFonts w:ascii="Calibri" w:hAnsi="Calibri"/>
                <w:sz w:val="22"/>
              </w:rPr>
              <w:t>$2.72 – $2.82 (mid: $2.77)</w:t>
            </w:r>
          </w:p>
        </w:tc>
        <w:tc>
          <w:tcPr>
            <w:tcW w:type="dxa" w:w="1728"/>
          </w:tcPr>
          <w:p>
            <w:r>
              <w:rPr>
                <w:rFonts w:ascii="Calibri" w:hAnsi="Calibri"/>
                <w:sz w:val="22"/>
              </w:rPr>
              <w:t>—</w:t>
            </w:r>
          </w:p>
        </w:tc>
        <w:tc>
          <w:tcPr>
            <w:tcW w:type="dxa" w:w="1728"/>
          </w:tcPr>
          <w:p>
            <w:r>
              <w:rPr>
                <w:rFonts w:ascii="Calibri" w:hAnsi="Calibri"/>
                <w:sz w:val="22"/>
              </w:rPr>
              <w:t>$2.811</w:t>
            </w:r>
          </w:p>
        </w:tc>
        <w:tc>
          <w:tcPr>
            <w:tcW w:type="dxa" w:w="1728"/>
          </w:tcPr>
          <w:p>
            <w:r>
              <w:rPr>
                <w:rFonts w:ascii="Calibri" w:hAnsi="Calibri"/>
                <w:sz w:val="22"/>
              </w:rPr>
              <w:t>Consensus sits +1.5% above midpoint; no revision since Q1 call</w:t>
            </w:r>
          </w:p>
        </w:tc>
      </w:tr>
      <w:tr>
        <w:tc>
          <w:tcPr>
            <w:tcW w:type="dxa" w:w="1728"/>
          </w:tcPr>
          <w:p>
            <w:r>
              <w:rPr>
                <w:rFonts w:ascii="Calibri" w:hAnsi="Calibri"/>
                <w:sz w:val="22"/>
              </w:rPr>
              <w:t>FY 2026 Core FFO/Share</w:t>
            </w:r>
          </w:p>
        </w:tc>
        <w:tc>
          <w:tcPr>
            <w:tcW w:type="dxa" w:w="1728"/>
          </w:tcPr>
          <w:p>
            <w:r>
              <w:rPr>
                <w:rFonts w:ascii="Calibri" w:hAnsi="Calibri"/>
                <w:sz w:val="22"/>
              </w:rPr>
              <w:t>Affirmed Feb 2026 guidance (midpoint ~$11.33)</w:t>
            </w:r>
          </w:p>
        </w:tc>
        <w:tc>
          <w:tcPr>
            <w:tcW w:type="dxa" w:w="1728"/>
          </w:tcPr>
          <w:p>
            <w:r>
              <w:rPr>
                <w:rFonts w:ascii="Calibri" w:hAnsi="Calibri"/>
                <w:sz w:val="22"/>
              </w:rPr>
              <w:t>—</w:t>
            </w:r>
          </w:p>
        </w:tc>
        <w:tc>
          <w:tcPr>
            <w:tcW w:type="dxa" w:w="1728"/>
          </w:tcPr>
          <w:p>
            <w:r>
              <w:rPr>
                <w:rFonts w:ascii="Calibri" w:hAnsi="Calibri"/>
                <w:sz w:val="22"/>
              </w:rPr>
              <w:t>$11.33</w:t>
            </w:r>
          </w:p>
        </w:tc>
        <w:tc>
          <w:tcPr>
            <w:tcW w:type="dxa" w:w="1728"/>
          </w:tcPr>
          <w:p>
            <w:r>
              <w:rPr>
                <w:rFonts w:ascii="Calibri" w:hAnsi="Calibri"/>
                <w:sz w:val="22"/>
              </w:rPr>
              <w:t>Affirmed at Q1 call; mgmt noted full-year tracking “modestly ahead” of original plan</w:t>
            </w:r>
          </w:p>
        </w:tc>
      </w:tr>
      <w:tr>
        <w:tc>
          <w:tcPr>
            <w:tcW w:type="dxa" w:w="1728"/>
          </w:tcPr>
          <w:p>
            <w:r>
              <w:rPr>
                <w:rFonts w:ascii="Calibri" w:hAnsi="Calibri"/>
                <w:sz w:val="22"/>
              </w:rPr>
              <w:t>FY 2026 SS Revenue Growth — Residential</w:t>
            </w:r>
          </w:p>
        </w:tc>
        <w:tc>
          <w:tcPr>
            <w:tcW w:type="dxa" w:w="1728"/>
          </w:tcPr>
          <w:p>
            <w:r>
              <w:rPr>
                <w:rFonts w:ascii="Calibri" w:hAnsi="Calibri"/>
                <w:sz w:val="22"/>
              </w:rPr>
              <w:t>~2.5% (full-year); H1 at ~1.25%, H2 at ~2.5%</w:t>
            </w:r>
          </w:p>
        </w:tc>
        <w:tc>
          <w:tcPr>
            <w:tcW w:type="dxa" w:w="1728"/>
          </w:tcPr>
          <w:p>
            <w:r>
              <w:rPr>
                <w:rFonts w:ascii="Calibri" w:hAnsi="Calibri"/>
                <w:sz w:val="22"/>
              </w:rPr>
              <w:t>—</w:t>
            </w:r>
          </w:p>
        </w:tc>
        <w:tc>
          <w:tcPr>
            <w:tcW w:type="dxa" w:w="1728"/>
          </w:tcPr>
          <w:p>
            <w:r>
              <w:rPr>
                <w:rFonts w:ascii="Calibri" w:hAnsi="Calibri"/>
                <w:sz w:val="22"/>
              </w:rPr>
              <w:t>1.65%</w:t>
            </w:r>
          </w:p>
        </w:tc>
        <w:tc>
          <w:tcPr>
            <w:tcW w:type="dxa" w:w="1728"/>
          </w:tcPr>
          <w:p>
            <w:r>
              <w:rPr>
                <w:rFonts w:ascii="Calibri" w:hAnsi="Calibri"/>
                <w:sz w:val="22"/>
              </w:rPr>
              <w:t>Consensus below full-year guide; H2 ramp is the key swing</w:t>
            </w:r>
          </w:p>
        </w:tc>
      </w:tr>
      <w:tr>
        <w:tc>
          <w:tcPr>
            <w:tcW w:type="dxa" w:w="1728"/>
          </w:tcPr>
          <w:p>
            <w:r>
              <w:rPr>
                <w:rFonts w:ascii="Calibri" w:hAnsi="Calibri"/>
                <w:sz w:val="22"/>
              </w:rPr>
              <w:t>FY 2026 SS NOI Growth — Residential</w:t>
            </w:r>
          </w:p>
        </w:tc>
        <w:tc>
          <w:tcPr>
            <w:tcW w:type="dxa" w:w="1728"/>
          </w:tcPr>
          <w:p>
            <w:r>
              <w:rPr>
                <w:rFonts w:ascii="Calibri" w:hAnsi="Calibri"/>
                <w:sz w:val="22"/>
              </w:rPr>
              <w:t>~2.0% (full-year)</w:t>
            </w:r>
          </w:p>
        </w:tc>
        <w:tc>
          <w:tcPr>
            <w:tcW w:type="dxa" w:w="1728"/>
          </w:tcPr>
          <w:p>
            <w:r>
              <w:rPr>
                <w:rFonts w:ascii="Calibri" w:hAnsi="Calibri"/>
                <w:sz w:val="22"/>
              </w:rPr>
              <w:t>—</w:t>
            </w:r>
          </w:p>
        </w:tc>
        <w:tc>
          <w:tcPr>
            <w:tcW w:type="dxa" w:w="1728"/>
          </w:tcPr>
          <w:p>
            <w:r>
              <w:rPr>
                <w:rFonts w:ascii="Calibri" w:hAnsi="Calibri"/>
                <w:sz w:val="22"/>
              </w:rPr>
              <w:t>0.54%</w:t>
            </w:r>
          </w:p>
        </w:tc>
        <w:tc>
          <w:tcPr>
            <w:tcW w:type="dxa" w:w="1728"/>
          </w:tcPr>
          <w:p>
            <w:r>
              <w:rPr>
                <w:rFonts w:ascii="Calibri" w:hAnsi="Calibri"/>
                <w:sz w:val="22"/>
              </w:rPr>
              <w:t>Consensus well below guidance; expense timing risk is the gap</w:t>
            </w:r>
          </w:p>
        </w:tc>
      </w:tr>
      <w:tr>
        <w:tc>
          <w:tcPr>
            <w:tcW w:type="dxa" w:w="1728"/>
          </w:tcPr>
          <w:p>
            <w:r>
              <w:rPr>
                <w:rFonts w:ascii="Calibri" w:hAnsi="Calibri"/>
                <w:sz w:val="22"/>
              </w:rPr>
              <w:t>FY 2026 Development NOI</w:t>
            </w:r>
          </w:p>
        </w:tc>
        <w:tc>
          <w:tcPr>
            <w:tcW w:type="dxa" w:w="1728"/>
          </w:tcPr>
          <w:p>
            <w:r>
              <w:rPr>
                <w:rFonts w:ascii="Calibri" w:hAnsi="Calibri"/>
                <w:sz w:val="22"/>
              </w:rPr>
              <w:t>$47M (2026); $120M (2027)</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Key earnings growth driver; on track per Q1 call</w:t>
            </w:r>
          </w:p>
        </w:tc>
      </w:tr>
      <w:tr>
        <w:tc>
          <w:tcPr>
            <w:tcW w:type="dxa" w:w="1728"/>
          </w:tcPr>
          <w:p>
            <w:r>
              <w:rPr>
                <w:rFonts w:ascii="Calibri" w:hAnsi="Calibri"/>
                <w:sz w:val="22"/>
              </w:rPr>
              <w:t>Quarterly Dividend (per share)</w:t>
            </w:r>
          </w:p>
        </w:tc>
        <w:tc>
          <w:tcPr>
            <w:tcW w:type="dxa" w:w="1728"/>
          </w:tcPr>
          <w:p>
            <w:r>
              <w:rPr>
                <w:rFonts w:ascii="Calibri" w:hAnsi="Calibri"/>
                <w:sz w:val="22"/>
              </w:rPr>
              <w:t>$1.78/quarter (pre-merger)</w:t>
            </w:r>
          </w:p>
        </w:tc>
        <w:tc>
          <w:tcPr>
            <w:tcW w:type="dxa" w:w="1728"/>
          </w:tcPr>
          <w:p>
            <w:r>
              <w:rPr>
                <w:rFonts w:ascii="Calibri" w:hAnsi="Calibri"/>
                <w:sz w:val="22"/>
              </w:rPr>
              <w:t>Capped at $1.78/quarter per merger agreement</w:t>
            </w:r>
          </w:p>
        </w:tc>
        <w:tc>
          <w:tcPr>
            <w:tcW w:type="dxa" w:w="1728"/>
          </w:tcPr>
          <w:p>
            <w:r>
              <w:rPr>
                <w:rFonts w:ascii="Calibri" w:hAnsi="Calibri"/>
                <w:sz w:val="22"/>
              </w:rPr>
              <w:t>$1.78</w:t>
            </w:r>
          </w:p>
        </w:tc>
        <w:tc>
          <w:tcPr>
            <w:tcW w:type="dxa" w:w="1728"/>
          </w:tcPr>
          <w:p>
            <w:r>
              <w:rPr>
                <w:rFonts w:ascii="Calibri" w:hAnsi="Calibri"/>
                <w:sz w:val="22"/>
              </w:rPr>
              <w:t>↓ Constrained by AVB-EQR Merger Agreement (May 20, 2026); no increase permitted without EQR consent</w:t>
            </w:r>
          </w:p>
        </w:tc>
      </w:tr>
      <w:tr>
        <w:tc>
          <w:tcPr>
            <w:tcW w:type="dxa" w:w="1728"/>
          </w:tcPr>
          <w:p>
            <w:r>
              <w:rPr>
                <w:rFonts w:ascii="Calibri" w:hAnsi="Calibri"/>
                <w:sz w:val="22"/>
              </w:rPr>
              <w:t>FY 2026 Development Starts</w:t>
            </w:r>
          </w:p>
        </w:tc>
        <w:tc>
          <w:tcPr>
            <w:tcW w:type="dxa" w:w="1728"/>
          </w:tcPr>
          <w:p>
            <w:r>
              <w:rPr>
                <w:rFonts w:ascii="Calibri" w:hAnsi="Calibri"/>
                <w:sz w:val="22"/>
              </w:rPr>
              <w:t>$800M planned; yields 6.5%–7.0%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per Q1 call; $3.5B under construction at 6.3% yield</w:t>
            </w:r>
          </w:p>
        </w:tc>
      </w:tr>
    </w:tbl>
    <w:p>
      <w:r>
        <w:rPr>
          <w:rFonts w:ascii="Calibri" w:hAnsi="Calibri"/>
          <w:i/>
          <w:color w:val="525866"/>
          <w:sz w:val="22"/>
        </w:rPr>
        <w:t>Sources: Q1 2026 Earnings Release and Call Transcript (April 27–28, 2026); AVB-EQR Merger Agreement 8-K (May 20–21, 2026); Visible Alpha Consensus.</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Core FFO estimates have been </w:t>
      </w:r>
      <w:r>
        <w:rPr>
          <w:rFonts w:ascii="Calibri" w:hAnsi="Calibri"/>
          <w:b/>
          <w:color w:val="525866"/>
          <w:sz w:val="22"/>
        </w:rPr>
        <w:t>essentially stable</w:t>
      </w:r>
      <w:r>
        <w:rPr>
          <w:rFonts w:ascii="Calibri" w:hAnsi="Calibri"/>
          <w:color w:val="525866"/>
          <w:sz w:val="22"/>
        </w:rPr>
        <w:t xml:space="preserve"> since the Q1 print (+0.25% revision), suggesting the street is comfortable with the guidance midpoint. However, </w:t>
      </w:r>
      <w:r>
        <w:rPr>
          <w:rFonts w:ascii="Calibri" w:hAnsi="Calibri"/>
          <w:b/>
          <w:color w:val="525866"/>
          <w:sz w:val="22"/>
        </w:rPr>
        <w:t>FY 2026 SS NOI consensus (0.54%) sits far below management’s 2.0% guidance</w:t>
      </w:r>
      <w:r>
        <w:rPr>
          <w:rFonts w:ascii="Calibri" w:hAnsi="Calibri"/>
          <w:color w:val="525866"/>
          <w:sz w:val="22"/>
        </w:rPr>
        <w:t xml:space="preserve"> — a gap that represents either a risk to guidance or a meaningful beat opportunity if H2 leasing momentum materializes.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as of May 4, 2026 (+5 Days Post Q1 Print)</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Core FFO/Share — Q2 2026</w:t>
            </w:r>
          </w:p>
        </w:tc>
        <w:tc>
          <w:tcPr>
            <w:tcW w:type="dxa" w:w="1080"/>
          </w:tcPr>
          <w:p>
            <w:r>
              <w:rPr>
                <w:rFonts w:ascii="Calibri" w:hAnsi="Calibri"/>
                <w:sz w:val="22"/>
              </w:rPr>
              <w:t>$2.818</w:t>
            </w:r>
          </w:p>
        </w:tc>
        <w:tc>
          <w:tcPr>
            <w:tcW w:type="dxa" w:w="1080"/>
          </w:tcPr>
          <w:p>
            <w:r>
              <w:rPr>
                <w:rFonts w:ascii="Calibri" w:hAnsi="Calibri"/>
                <w:sz w:val="22"/>
              </w:rPr>
              <w:t>$2.811</w:t>
            </w:r>
          </w:p>
        </w:tc>
        <w:tc>
          <w:tcPr>
            <w:tcW w:type="dxa" w:w="1080"/>
          </w:tcPr>
          <w:p>
            <w:r>
              <w:rPr>
                <w:rFonts w:ascii="Calibri" w:hAnsi="Calibri"/>
                <w:sz w:val="22"/>
              </w:rPr>
              <w:t>−0.25%</w:t>
            </w:r>
          </w:p>
        </w:tc>
        <w:tc>
          <w:tcPr>
            <w:tcW w:type="dxa" w:w="1080"/>
          </w:tcPr>
          <w:p>
            <w:r>
              <w:rPr>
                <w:rFonts w:ascii="Calibri" w:hAnsi="Calibri"/>
                <w:sz w:val="22"/>
              </w:rPr>
              <w:t>$2.72–$2.82 (mid $2.77)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above mid</w:t>
            </w:r>
          </w:p>
        </w:tc>
      </w:tr>
      <w:tr>
        <w:tc>
          <w:tcPr>
            <w:tcW w:type="dxa" w:w="1080"/>
          </w:tcPr>
          <w:p>
            <w:r>
              <w:rPr>
                <w:rFonts w:ascii="Calibri" w:hAnsi="Calibri"/>
                <w:sz w:val="22"/>
              </w:rPr>
              <w:t>Core FFO/Share — FY 2026</w:t>
            </w:r>
          </w:p>
        </w:tc>
        <w:tc>
          <w:tcPr>
            <w:tcW w:type="dxa" w:w="1080"/>
          </w:tcPr>
          <w:p>
            <w:r>
              <w:rPr>
                <w:rFonts w:ascii="Calibri" w:hAnsi="Calibri"/>
                <w:sz w:val="22"/>
              </w:rPr>
              <w:t>$11.371</w:t>
            </w:r>
          </w:p>
        </w:tc>
        <w:tc>
          <w:tcPr>
            <w:tcW w:type="dxa" w:w="1080"/>
          </w:tcPr>
          <w:p>
            <w:r>
              <w:rPr>
                <w:rFonts w:ascii="Calibri" w:hAnsi="Calibri"/>
                <w:sz w:val="22"/>
              </w:rPr>
              <w:t>$11.333</w:t>
            </w:r>
          </w:p>
        </w:tc>
        <w:tc>
          <w:tcPr>
            <w:tcW w:type="dxa" w:w="1080"/>
          </w:tcPr>
          <w:p>
            <w:r>
              <w:rPr>
                <w:rFonts w:ascii="Calibri" w:hAnsi="Calibri"/>
                <w:sz w:val="22"/>
              </w:rPr>
              <w:t>−0.34%</w:t>
            </w:r>
          </w:p>
        </w:tc>
        <w:tc>
          <w:tcPr>
            <w:tcW w:type="dxa" w:w="1080"/>
          </w:tcPr>
          <w:p>
            <w:r>
              <w:rPr>
                <w:rFonts w:ascii="Calibri" w:hAnsi="Calibri"/>
                <w:sz w:val="22"/>
              </w:rPr>
              <w:t>Affirmed ~$11.33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Essentially in-line</w:t>
            </w:r>
          </w:p>
        </w:tc>
      </w:tr>
      <w:tr>
        <w:tc>
          <w:tcPr>
            <w:tcW w:type="dxa" w:w="1080"/>
          </w:tcPr>
          <w:p>
            <w:r>
              <w:rPr>
                <w:rFonts w:ascii="Calibri" w:hAnsi="Calibri"/>
                <w:sz w:val="22"/>
              </w:rPr>
              <w:t>SS NOI Growth — Q2 2026</w:t>
            </w:r>
          </w:p>
        </w:tc>
        <w:tc>
          <w:tcPr>
            <w:tcW w:type="dxa" w:w="1080"/>
          </w:tcPr>
          <w:p>
            <w:r>
              <w:rPr>
                <w:rFonts w:ascii="Calibri" w:hAnsi="Calibri"/>
                <w:sz w:val="22"/>
              </w:rPr>
              <w:t>−0.60%</w:t>
            </w:r>
          </w:p>
        </w:tc>
        <w:tc>
          <w:tcPr>
            <w:tcW w:type="dxa" w:w="1080"/>
          </w:tcPr>
          <w:p>
            <w:r>
              <w:rPr>
                <w:rFonts w:ascii="Calibri" w:hAnsi="Calibri"/>
                <w:sz w:val="22"/>
              </w:rPr>
              <w:t>−0.03%</w:t>
            </w:r>
          </w:p>
        </w:tc>
        <w:tc>
          <w:tcPr>
            <w:tcW w:type="dxa" w:w="1080"/>
          </w:tcPr>
          <w:p>
            <w:r>
              <w:rPr>
                <w:rFonts w:ascii="Calibri" w:hAnsi="Calibri"/>
                <w:sz w:val="22"/>
              </w:rPr>
              <w:t>+57 bps improvement</w:t>
            </w:r>
          </w:p>
        </w:tc>
        <w:tc>
          <w:tcPr>
            <w:tcW w:type="dxa" w:w="1080"/>
          </w:tcPr>
          <w:p>
            <w:r>
              <w:rPr>
                <w:rFonts w:ascii="Calibri" w:hAnsi="Calibri"/>
                <w:sz w:val="22"/>
              </w:rPr>
              <w:t>N/A (no explicit Q2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SS NOI Growth — FY 2026</w:t>
            </w:r>
          </w:p>
        </w:tc>
        <w:tc>
          <w:tcPr>
            <w:tcW w:type="dxa" w:w="1080"/>
          </w:tcPr>
          <w:p>
            <w:r>
              <w:rPr>
                <w:rFonts w:ascii="Calibri" w:hAnsi="Calibri"/>
                <w:sz w:val="22"/>
              </w:rPr>
              <w:t>0.50%</w:t>
            </w:r>
          </w:p>
        </w:tc>
        <w:tc>
          <w:tcPr>
            <w:tcW w:type="dxa" w:w="1080"/>
          </w:tcPr>
          <w:p>
            <w:r>
              <w:rPr>
                <w:rFonts w:ascii="Calibri" w:hAnsi="Calibri"/>
                <w:sz w:val="22"/>
              </w:rPr>
              <w:t>0.54%</w:t>
            </w:r>
          </w:p>
        </w:tc>
        <w:tc>
          <w:tcPr>
            <w:tcW w:type="dxa" w:w="1080"/>
          </w:tcPr>
          <w:p>
            <w:r>
              <w:rPr>
                <w:rFonts w:ascii="Calibri" w:hAnsi="Calibri"/>
                <w:sz w:val="22"/>
              </w:rPr>
              <w:t>+4 bps</w:t>
            </w:r>
          </w:p>
        </w:tc>
        <w:tc>
          <w:tcPr>
            <w:tcW w:type="dxa" w:w="1080"/>
          </w:tcPr>
          <w:p>
            <w:r>
              <w:rPr>
                <w:rFonts w:ascii="Calibri" w:hAnsi="Calibri"/>
                <w:sz w:val="22"/>
              </w:rPr>
              <w:t>~2.0% (full-year)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−146 bps below guide mid</w:t>
            </w:r>
          </w:p>
        </w:tc>
      </w:tr>
      <w:tr>
        <w:tc>
          <w:tcPr>
            <w:tcW w:type="dxa" w:w="1080"/>
          </w:tcPr>
          <w:p>
            <w:r>
              <w:rPr>
                <w:rFonts w:ascii="Calibri" w:hAnsi="Calibri"/>
                <w:sz w:val="22"/>
              </w:rPr>
              <w:t>SS Revenue Growth — Q2 2026</w:t>
            </w:r>
          </w:p>
        </w:tc>
        <w:tc>
          <w:tcPr>
            <w:tcW w:type="dxa" w:w="1080"/>
          </w:tcPr>
          <w:p>
            <w:r>
              <w:rPr>
                <w:rFonts w:ascii="Calibri" w:hAnsi="Calibri"/>
                <w:sz w:val="22"/>
              </w:rPr>
              <w:t>1.29%</w:t>
            </w:r>
          </w:p>
        </w:tc>
        <w:tc>
          <w:tcPr>
            <w:tcW w:type="dxa" w:w="1080"/>
          </w:tcPr>
          <w:p>
            <w:r>
              <w:rPr>
                <w:rFonts w:ascii="Calibri" w:hAnsi="Calibri"/>
                <w:sz w:val="22"/>
              </w:rPr>
              <w:t>1.38%</w:t>
            </w:r>
          </w:p>
        </w:tc>
        <w:tc>
          <w:tcPr>
            <w:tcW w:type="dxa" w:w="1080"/>
          </w:tcPr>
          <w:p>
            <w:r>
              <w:rPr>
                <w:rFonts w:ascii="Calibri" w:hAnsi="Calibri"/>
                <w:sz w:val="22"/>
              </w:rPr>
              <w:t>+9 bps</w:t>
            </w:r>
          </w:p>
        </w:tc>
        <w:tc>
          <w:tcPr>
            <w:tcW w:type="dxa" w:w="1080"/>
          </w:tcPr>
          <w:p>
            <w:r>
              <w:rPr>
                <w:rFonts w:ascii="Calibri" w:hAnsi="Calibri"/>
                <w:sz w:val="22"/>
              </w:rPr>
              <w:t>N/A (full-year ~2.5%)</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SS Revenue Growth — FY 2026</w:t>
            </w:r>
          </w:p>
        </w:tc>
        <w:tc>
          <w:tcPr>
            <w:tcW w:type="dxa" w:w="1080"/>
          </w:tcPr>
          <w:p>
            <w:r>
              <w:rPr>
                <w:rFonts w:ascii="Calibri" w:hAnsi="Calibri"/>
                <w:sz w:val="22"/>
              </w:rPr>
              <w:t>1.64%</w:t>
            </w:r>
          </w:p>
        </w:tc>
        <w:tc>
          <w:tcPr>
            <w:tcW w:type="dxa" w:w="1080"/>
          </w:tcPr>
          <w:p>
            <w:r>
              <w:rPr>
                <w:rFonts w:ascii="Calibri" w:hAnsi="Calibri"/>
                <w:sz w:val="22"/>
              </w:rPr>
              <w:t>1.65%</w:t>
            </w:r>
          </w:p>
        </w:tc>
        <w:tc>
          <w:tcPr>
            <w:tcW w:type="dxa" w:w="1080"/>
          </w:tcPr>
          <w:p>
            <w:r>
              <w:rPr>
                <w:rFonts w:ascii="Calibri" w:hAnsi="Calibri"/>
                <w:sz w:val="22"/>
              </w:rPr>
              <w:t>+1 bp</w:t>
            </w:r>
          </w:p>
        </w:tc>
        <w:tc>
          <w:tcPr>
            <w:tcW w:type="dxa" w:w="1080"/>
          </w:tcPr>
          <w:p>
            <w:r>
              <w:rPr>
                <w:rFonts w:ascii="Calibri" w:hAnsi="Calibri"/>
                <w:sz w:val="22"/>
              </w:rPr>
              <w:t>~2.5% (full-year)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−85 bps below guide</w:t>
            </w:r>
          </w:p>
        </w:tc>
      </w:tr>
    </w:tbl>
    <w:p>
      <w:r>
        <w:rPr>
          <w:rFonts w:ascii="Calibri" w:hAnsi="Calibri"/>
          <w:color w:val="525866"/>
          <w:sz w:val="22"/>
        </w:rPr>
        <w:t>The most notable divergence is in full-year SS NOI growth: consensus at 0.54% vs. management’s 2.0% guide — a ~146 bps gap. This reflects the street’s skepticism that deferred Q1 expenses will be offset by H2 leasing momentum. If Q2 results show expense normalization without a corresponding revenue acceleration, the gap could widen further. Conversely, a strong peak-leasing read-through would be the catalyst for consensus to converge toward guidance.</w:t>
      </w:r>
    </w:p>
    <w:p>
      <w:r>
        <w:rPr>
          <w:rFonts w:ascii="Calibri" w:hAnsi="Calibri"/>
          <w:i/>
          <w:color w:val="525866"/>
          <w:sz w:val="22"/>
        </w:rPr>
        <w:t>Source: Visible Alpha Consensus and Actuals Data; Q1 2026 Earnings Call Transcript (April 28,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AVB is up ~9.4% since the Q1 earnings date (April 27), </w:t>
      </w:r>
      <w:r>
        <w:rPr>
          <w:rFonts w:ascii="Calibri" w:hAnsi="Calibri"/>
          <w:b/>
          <w:color w:val="525866"/>
          <w:sz w:val="22"/>
        </w:rPr>
        <w:t>outperforming both VNQ (+4.9%) and SPY (+4.6%)</w:t>
      </w:r>
      <w:r>
        <w:rPr>
          <w:rFonts w:ascii="Calibri" w:hAnsi="Calibri"/>
          <w:color w:val="525866"/>
          <w:sz w:val="22"/>
        </w:rPr>
        <w:t xml:space="preserve"> over the same period. The outperformance is primarily multiple-driven (EV/EBITDA expanded ~4.5% over 1 month) rather than estimate-driven, suggesting the market is pricing in merger optionality and peak-leasing optimism rather than a fundamental earnings re-rating.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AVB</w:t>
            </w:r>
          </w:p>
        </w:tc>
        <w:tc>
          <w:tcPr>
            <w:tcW w:type="dxa" w:w="1728"/>
            <w:shd w:val="clear" w:color="auto" w:fill="3B4259"/>
          </w:tcPr>
          <w:p>
            <w:r>
              <w:rPr>
                <w:rFonts w:ascii="Calibri" w:hAnsi="Calibri"/>
                <w:b/>
                <w:color w:val="FFFFFF"/>
                <w:sz w:val="22"/>
              </w:rPr>
              <w:t>VNQ</w:t>
            </w:r>
          </w:p>
        </w:tc>
        <w:tc>
          <w:tcPr>
            <w:tcW w:type="dxa" w:w="1728"/>
            <w:shd w:val="clear" w:color="auto" w:fill="3B4259"/>
          </w:tcPr>
          <w:p>
            <w:r>
              <w:rPr>
                <w:rFonts w:ascii="Calibri" w:hAnsi="Calibri"/>
                <w:b/>
                <w:color w:val="FFFFFF"/>
                <w:sz w:val="22"/>
              </w:rPr>
              <w:t>SPY</w:t>
            </w:r>
          </w:p>
        </w:tc>
        <w:tc>
          <w:tcPr>
            <w:tcW w:type="dxa" w:w="1728"/>
          </w:tcPr>
          <w:p/>
        </w:tc>
      </w:tr>
      <w:tr>
        <w:tc>
          <w:tcPr>
            <w:tcW w:type="dxa" w:w="1728"/>
          </w:tcPr>
          <w:p>
            <w:r>
              <w:rPr>
                <w:rFonts w:ascii="Calibri" w:hAnsi="Calibri"/>
                <w:sz w:val="22"/>
              </w:rPr>
              <w:t>Price on Apr 27, 2026 (Q1 Earnings Day)</w:t>
            </w:r>
          </w:p>
        </w:tc>
        <w:tc>
          <w:tcPr>
            <w:tcW w:type="dxa" w:w="1728"/>
          </w:tcPr>
          <w:p>
            <w:r>
              <w:rPr>
                <w:rFonts w:ascii="Calibri" w:hAnsi="Calibri"/>
                <w:sz w:val="22"/>
              </w:rPr>
              <w:t>$174.28</w:t>
            </w:r>
          </w:p>
        </w:tc>
        <w:tc>
          <w:tcPr>
            <w:tcW w:type="dxa" w:w="1728"/>
          </w:tcPr>
          <w:p>
            <w:r>
              <w:rPr>
                <w:rFonts w:ascii="Calibri" w:hAnsi="Calibri"/>
                <w:sz w:val="22"/>
              </w:rPr>
              <w:t>$94.78</w:t>
            </w:r>
          </w:p>
        </w:tc>
        <w:tc>
          <w:tcPr>
            <w:tcW w:type="dxa" w:w="1728"/>
          </w:tcPr>
          <w:p>
            <w:r>
              <w:rPr>
                <w:rFonts w:ascii="Calibri" w:hAnsi="Calibri"/>
                <w:sz w:val="22"/>
              </w:rPr>
              <w:t>$715.17</w:t>
            </w:r>
          </w:p>
        </w:tc>
        <w:tc>
          <w:tcPr>
            <w:tcW w:type="dxa" w:w="1728"/>
          </w:tcPr>
        </w:tc>
      </w:tr>
      <w:tr>
        <w:tc>
          <w:tcPr>
            <w:tcW w:type="dxa" w:w="1728"/>
          </w:tcPr>
          <w:p>
            <w:r>
              <w:rPr>
                <w:rFonts w:ascii="Calibri" w:hAnsi="Calibri"/>
                <w:sz w:val="22"/>
              </w:rPr>
              <w:t>Price on Jul 21, 2026</w:t>
            </w:r>
          </w:p>
        </w:tc>
        <w:tc>
          <w:tcPr>
            <w:tcW w:type="dxa" w:w="1728"/>
          </w:tcPr>
          <w:p>
            <w:r>
              <w:rPr>
                <w:rFonts w:ascii="Calibri" w:hAnsi="Calibri"/>
                <w:sz w:val="22"/>
              </w:rPr>
              <w:t>$190.65</w:t>
            </w:r>
          </w:p>
        </w:tc>
        <w:tc>
          <w:tcPr>
            <w:tcW w:type="dxa" w:w="1728"/>
          </w:tcPr>
          <w:p>
            <w:r>
              <w:rPr>
                <w:rFonts w:ascii="Calibri" w:hAnsi="Calibri"/>
                <w:sz w:val="22"/>
              </w:rPr>
              <w:t>$99.52</w:t>
            </w:r>
          </w:p>
        </w:tc>
        <w:tc>
          <w:tcPr>
            <w:tcW w:type="dxa" w:w="1728"/>
          </w:tcPr>
          <w:p>
            <w:r>
              <w:rPr>
                <w:rFonts w:ascii="Calibri" w:hAnsi="Calibri"/>
                <w:sz w:val="22"/>
              </w:rPr>
              <w:t>$748.28</w:t>
            </w:r>
          </w:p>
        </w:tc>
        <w:tc>
          <w:tcPr>
            <w:tcW w:type="dxa" w:w="1728"/>
          </w:tcPr>
        </w:tc>
      </w:tr>
      <w:tr>
        <w:tc>
          <w:tcPr>
            <w:tcW w:type="dxa" w:w="1728"/>
          </w:tcPr>
          <w:p>
            <w:r>
              <w:rPr>
                <w:rFonts w:ascii="Calibri" w:hAnsi="Calibri"/>
                <w:sz w:val="22"/>
              </w:rPr>
              <w:t>Return Since Q1 Earnings</w:t>
            </w:r>
          </w:p>
        </w:tc>
        <w:tc>
          <w:tcPr>
            <w:tcW w:type="dxa" w:w="1728"/>
          </w:tcPr>
          <w:p>
            <w:r>
              <w:rPr>
                <w:rFonts w:ascii="Calibri" w:hAnsi="Calibri"/>
                <w:b/>
                <w:sz w:val="22"/>
              </w:rPr>
              <w:t>+9.4%</w:t>
            </w:r>
          </w:p>
        </w:tc>
        <w:tc>
          <w:tcPr>
            <w:tcW w:type="dxa" w:w="1728"/>
          </w:tcPr>
          <w:p>
            <w:r>
              <w:rPr>
                <w:rFonts w:ascii="Calibri" w:hAnsi="Calibri"/>
                <w:sz w:val="22"/>
              </w:rPr>
              <w:t>+5.0%</w:t>
            </w:r>
          </w:p>
        </w:tc>
        <w:tc>
          <w:tcPr>
            <w:tcW w:type="dxa" w:w="1728"/>
          </w:tcPr>
          <w:p>
            <w:r>
              <w:rPr>
                <w:rFonts w:ascii="Calibri" w:hAnsi="Calibri"/>
                <w:sz w:val="22"/>
              </w:rPr>
              <w:t>+4.6%</w:t>
            </w:r>
          </w:p>
        </w:tc>
        <w:tc>
          <w:tcPr>
            <w:tcW w:type="dxa" w:w="1728"/>
          </w:tcPr>
        </w:tc>
      </w:tr>
      <w:tr>
        <w:tc>
          <w:tcPr>
            <w:tcW w:type="dxa" w:w="1728"/>
          </w:tcPr>
          <w:p>
            <w:r>
              <w:rPr>
                <w:rFonts w:ascii="Calibri" w:hAnsi="Calibri"/>
                <w:sz w:val="22"/>
              </w:rPr>
              <w:t>NTM EV/EBITDA (Current)</w:t>
            </w:r>
          </w:p>
        </w:tc>
        <w:tc>
          <w:tcPr>
            <w:tcW w:type="dxa" w:w="1728"/>
          </w:tcPr>
          <w:p>
            <w:r>
              <w:rPr>
                <w:rFonts w:ascii="Calibri" w:hAnsi="Calibri"/>
                <w:sz w:val="22"/>
              </w:rPr>
              <w:t>18.97x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tc>
      </w:tr>
      <w:tr>
        <w:tc>
          <w:tcPr>
            <w:tcW w:type="dxa" w:w="1728"/>
          </w:tcPr>
          <w:p>
            <w:r>
              <w:rPr>
                <w:rFonts w:ascii="Calibri" w:hAnsi="Calibri"/>
                <w:sz w:val="22"/>
              </w:rPr>
              <w:t>NTM EV/EBITDA (1M Ago)</w:t>
            </w:r>
          </w:p>
        </w:tc>
        <w:tc>
          <w:tcPr>
            <w:tcW w:type="dxa" w:w="1728"/>
          </w:tcPr>
          <w:p>
            <w:r>
              <w:rPr>
                <w:rFonts w:ascii="Calibri" w:hAnsi="Calibri"/>
                <w:sz w:val="22"/>
              </w:rPr>
              <w:t>18.16x</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tc>
      </w:tr>
      <w:tr>
        <w:tc>
          <w:tcPr>
            <w:tcW w:type="dxa" w:w="1728"/>
          </w:tcPr>
          <w:p>
            <w:r>
              <w:rPr>
                <w:rFonts w:ascii="Calibri" w:hAnsi="Calibri"/>
                <w:sz w:val="22"/>
              </w:rPr>
              <w:t>Multiple Expansion (1M)</w:t>
            </w:r>
          </w:p>
        </w:tc>
        <w:tc>
          <w:tcPr>
            <w:tcW w:type="dxa" w:w="1728"/>
          </w:tcPr>
          <w:p>
            <w:r>
              <w:rPr>
                <w:rFonts w:ascii="Calibri" w:hAnsi="Calibri"/>
                <w:sz w:val="22"/>
              </w:rPr>
              <w:t>+4.5%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tc>
      </w:tr>
    </w:tbl>
    <w:p>
      <w:r>
        <w:rPr>
          <w:rFonts w:ascii="Calibri" w:hAnsi="Calibri"/>
          <w:color w:val="525866"/>
          <w:sz w:val="22"/>
        </w:rPr>
        <w:t>Key Events Since Q1 Earnings (April 27, 2026):</w:t>
      </w:r>
    </w:p>
    <w:p>
      <w:pPr>
        <w:pStyle w:val="ListBullet"/>
        <w:ind w:left="360" w:hanging="360"/>
      </w:pPr>
      <w:r>
        <w:rPr>
          <w:rFonts w:ascii="Calibri" w:hAnsi="Calibri"/>
          <w:b/>
          <w:color w:val="525866"/>
          <w:sz w:val="22"/>
        </w:rPr>
        <w:t>April 27–28:</w:t>
      </w:r>
      <w:r>
        <w:rPr>
          <w:rFonts w:ascii="Calibri" w:hAnsi="Calibri"/>
          <w:color w:val="525866"/>
          <w:sz w:val="22"/>
        </w:rPr>
        <w:t xml:space="preserve"> Q1 2026 earnings beat; Core FFO $2.83 vs. $2.80 consensus; full-year guidance affirmed. Stock +5.3% on the day.</w:t>
      </w:r>
    </w:p>
    <w:p>
      <w:pPr>
        <w:pStyle w:val="ListBullet"/>
        <w:ind w:left="360" w:hanging="360"/>
      </w:pPr>
      <w:r>
        <w:rPr>
          <w:rFonts w:ascii="Calibri" w:hAnsi="Calibri"/>
          <w:b/>
          <w:color w:val="525866"/>
          <w:sz w:val="22"/>
        </w:rPr>
        <w:t>May 20–21:</w:t>
      </w:r>
      <w:r>
        <w:rPr>
          <w:rFonts w:ascii="Calibri" w:hAnsi="Calibri"/>
          <w:color w:val="525866"/>
          <w:sz w:val="22"/>
        </w:rPr>
        <w:t xml:space="preserve"> AVB-EQR merger of equals announced (agreement signed May 20; disclosed May 21). Stock initially dipped ~1.4% on merger day as market digested deal complexity.</w:t>
      </w:r>
    </w:p>
    <w:p>
      <w:pPr>
        <w:pStyle w:val="ListBullet"/>
        <w:ind w:left="360" w:hanging="360"/>
      </w:pPr>
      <w:r>
        <w:rPr>
          <w:rFonts w:ascii="Calibri" w:hAnsi="Calibri"/>
          <w:b/>
          <w:color w:val="525866"/>
          <w:sz w:val="22"/>
        </w:rPr>
        <w:t>June 3–4:</w:t>
      </w:r>
      <w:r>
        <w:rPr>
          <w:rFonts w:ascii="Calibri" w:hAnsi="Calibri"/>
          <w:color w:val="525866"/>
          <w:sz w:val="22"/>
        </w:rPr>
        <w:t xml:space="preserve"> Nareit REITweek conference — peers (ESS, MAA, INVH) provided constructive Q2 leasing commentary; AVB stock +3.3% June 3–4 on sector read-through.</w:t>
      </w:r>
    </w:p>
    <w:p>
      <w:pPr>
        <w:pStyle w:val="ListBullet"/>
        <w:ind w:left="360" w:hanging="360"/>
      </w:pPr>
      <w:r>
        <w:rPr>
          <w:rFonts w:ascii="Calibri" w:hAnsi="Calibri"/>
          <w:b/>
          <w:color w:val="525866"/>
          <w:sz w:val="22"/>
        </w:rPr>
        <w:t>June 17–18:</w:t>
      </w:r>
      <w:r>
        <w:rPr>
          <w:rFonts w:ascii="Calibri" w:hAnsi="Calibri"/>
          <w:color w:val="525866"/>
          <w:sz w:val="22"/>
        </w:rPr>
        <w:t xml:space="preserve"> AVB pulled back ~4.5% over two sessions with no company-specific catalyst; broader REIT sector weakness.</w:t>
      </w:r>
    </w:p>
    <w:p>
      <w:pPr>
        <w:pStyle w:val="ListBullet"/>
        <w:ind w:left="360" w:hanging="360"/>
      </w:pPr>
      <w:r>
        <w:rPr>
          <w:rFonts w:ascii="Calibri" w:hAnsi="Calibri"/>
          <w:b/>
          <w:color w:val="525866"/>
          <w:sz w:val="22"/>
        </w:rPr>
        <w:t>July 15–16:</w:t>
      </w:r>
      <w:r>
        <w:rPr>
          <w:rFonts w:ascii="Calibri" w:hAnsi="Calibri"/>
          <w:color w:val="525866"/>
          <w:sz w:val="22"/>
        </w:rPr>
        <w:t xml:space="preserve"> Congress enacted the 21st Century ROAD to Housing Act (bipartisan housing supply legislation); AVB +2.7% on July 16 as sector re-rated on supply-favorable policy.</w:t>
      </w:r>
    </w:p>
    <w:p>
      <w:r>
        <w:rPr>
          <w:rFonts w:ascii="Calibri" w:hAnsi="Calibri"/>
          <w:i/>
          <w:color w:val="525866"/>
          <w:sz w:val="22"/>
        </w:rPr>
        <w:t>Sources: Stock Price Data (Yahoo Finance); Stock Performance Decomposition Data.</w:t>
      </w:r>
    </w:p>
    <w:p>
      <w:pPr>
        <w:pStyle w:val="Heading2"/>
      </w:pPr>
      <w:r>
        <w:rPr>
          <w:rFonts w:ascii="Calibri" w:hAnsi="Calibri"/>
          <w:b/>
          <w:color w:val="3B4259"/>
          <w:sz w:val="28"/>
        </w:rPr>
        <w:t>Indexed Price Chart — AVB vs. VNQ vs. SPY Since April 27,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AVB (Indexed)</w:t>
            </w:r>
          </w:p>
        </w:tc>
        <w:tc>
          <w:tcPr>
            <w:tcW w:type="dxa" w:w="2160"/>
            <w:shd w:val="clear" w:color="auto" w:fill="3B4259"/>
          </w:tcPr>
          <w:p>
            <w:r>
              <w:rPr>
                <w:rFonts w:ascii="Calibri" w:hAnsi="Calibri"/>
                <w:b/>
                <w:color w:val="FFFFFF"/>
                <w:sz w:val="22"/>
              </w:rPr>
              <w:t>VNQ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27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28</w:t>
            </w:r>
          </w:p>
        </w:tc>
        <w:tc>
          <w:tcPr>
            <w:tcW w:type="dxa" w:w="2160"/>
          </w:tcPr>
          <w:p>
            <w:r>
              <w:rPr>
                <w:rFonts w:ascii="Calibri" w:hAnsi="Calibri"/>
                <w:sz w:val="22"/>
              </w:rPr>
              <w:t>105.3</w:t>
            </w:r>
          </w:p>
        </w:tc>
        <w:tc>
          <w:tcPr>
            <w:tcW w:type="dxa" w:w="2160"/>
          </w:tcPr>
          <w:p>
            <w:r>
              <w:rPr>
                <w:rFonts w:ascii="Calibri" w:hAnsi="Calibri"/>
                <w:sz w:val="22"/>
              </w:rPr>
              <w:t>100.9</w:t>
            </w:r>
          </w:p>
        </w:tc>
        <w:tc>
          <w:tcPr>
            <w:tcW w:type="dxa" w:w="2160"/>
          </w:tcPr>
          <w:p>
            <w:r>
              <w:rPr>
                <w:rFonts w:ascii="Calibri" w:hAnsi="Calibri"/>
                <w:sz w:val="22"/>
              </w:rPr>
              <w:t>99.5</w:t>
            </w:r>
          </w:p>
        </w:tc>
      </w:tr>
      <w:tr>
        <w:tc>
          <w:tcPr>
            <w:tcW w:type="dxa" w:w="2160"/>
          </w:tcPr>
          <w:p>
            <w:r>
              <w:rPr>
                <w:rFonts w:ascii="Calibri" w:hAnsi="Calibri"/>
                <w:sz w:val="22"/>
              </w:rPr>
              <w:t>May 21 (Merger Announced)</w:t>
            </w:r>
          </w:p>
        </w:tc>
        <w:tc>
          <w:tcPr>
            <w:tcW w:type="dxa" w:w="2160"/>
          </w:tcPr>
          <w:p>
            <w:r>
              <w:rPr>
                <w:rFonts w:ascii="Calibri" w:hAnsi="Calibri"/>
                <w:sz w:val="22"/>
              </w:rPr>
              <w:t>105.6</w:t>
            </w:r>
          </w:p>
        </w:tc>
        <w:tc>
          <w:tcPr>
            <w:tcW w:type="dxa" w:w="2160"/>
          </w:tcPr>
          <w:p>
            <w:r>
              <w:rPr>
                <w:rFonts w:ascii="Calibri" w:hAnsi="Calibri"/>
                <w:sz w:val="22"/>
              </w:rPr>
              <w:t>102.0</w:t>
            </w:r>
          </w:p>
        </w:tc>
        <w:tc>
          <w:tcPr>
            <w:tcW w:type="dxa" w:w="2160"/>
          </w:tcPr>
          <w:p>
            <w:r>
              <w:rPr>
                <w:rFonts w:ascii="Calibri" w:hAnsi="Calibri"/>
                <w:sz w:val="22"/>
              </w:rPr>
              <w:t>103.8</w:t>
            </w:r>
          </w:p>
        </w:tc>
      </w:tr>
      <w:tr>
        <w:tc>
          <w:tcPr>
            <w:tcW w:type="dxa" w:w="2160"/>
          </w:tcPr>
          <w:p>
            <w:r>
              <w:rPr>
                <w:rFonts w:ascii="Calibri" w:hAnsi="Calibri"/>
                <w:sz w:val="22"/>
              </w:rPr>
              <w:t>Jun 3 (REITweek)</w:t>
            </w:r>
          </w:p>
        </w:tc>
        <w:tc>
          <w:tcPr>
            <w:tcW w:type="dxa" w:w="2160"/>
          </w:tcPr>
          <w:p>
            <w:r>
              <w:rPr>
                <w:rFonts w:ascii="Calibri" w:hAnsi="Calibri"/>
                <w:sz w:val="22"/>
              </w:rPr>
              <w:t>105.1</w:t>
            </w:r>
          </w:p>
        </w:tc>
        <w:tc>
          <w:tcPr>
            <w:tcW w:type="dxa" w:w="2160"/>
          </w:tcPr>
          <w:p>
            <w:r>
              <w:rPr>
                <w:rFonts w:ascii="Calibri" w:hAnsi="Calibri"/>
                <w:sz w:val="22"/>
              </w:rPr>
              <w:t>99.6</w:t>
            </w:r>
          </w:p>
        </w:tc>
        <w:tc>
          <w:tcPr>
            <w:tcW w:type="dxa" w:w="2160"/>
          </w:tcPr>
          <w:p>
            <w:r>
              <w:rPr>
                <w:rFonts w:ascii="Calibri" w:hAnsi="Calibri"/>
                <w:sz w:val="22"/>
              </w:rPr>
              <w:t>105.5</w:t>
            </w:r>
          </w:p>
        </w:tc>
      </w:tr>
      <w:tr>
        <w:tc>
          <w:tcPr>
            <w:tcW w:type="dxa" w:w="2160"/>
          </w:tcPr>
          <w:p>
            <w:r>
              <w:rPr>
                <w:rFonts w:ascii="Calibri" w:hAnsi="Calibri"/>
                <w:sz w:val="22"/>
              </w:rPr>
              <w:t>Jun 18 (Pullback)</w:t>
            </w:r>
          </w:p>
        </w:tc>
        <w:tc>
          <w:tcPr>
            <w:tcW w:type="dxa" w:w="2160"/>
          </w:tcPr>
          <w:p>
            <w:r>
              <w:rPr>
                <w:rFonts w:ascii="Calibri" w:hAnsi="Calibri"/>
                <w:sz w:val="22"/>
              </w:rPr>
              <w:t>101.7</w:t>
            </w:r>
          </w:p>
        </w:tc>
        <w:tc>
          <w:tcPr>
            <w:tcW w:type="dxa" w:w="2160"/>
          </w:tcPr>
          <w:p>
            <w:r>
              <w:rPr>
                <w:rFonts w:ascii="Calibri" w:hAnsi="Calibri"/>
                <w:sz w:val="22"/>
              </w:rPr>
              <w:t>100.8</w:t>
            </w:r>
          </w:p>
        </w:tc>
        <w:tc>
          <w:tcPr>
            <w:tcW w:type="dxa" w:w="2160"/>
          </w:tcPr>
          <w:p>
            <w:r>
              <w:rPr>
                <w:rFonts w:ascii="Calibri" w:hAnsi="Calibri"/>
                <w:sz w:val="22"/>
              </w:rPr>
              <w:t>104.4</w:t>
            </w:r>
          </w:p>
        </w:tc>
      </w:tr>
      <w:tr>
        <w:tc>
          <w:tcPr>
            <w:tcW w:type="dxa" w:w="2160"/>
          </w:tcPr>
          <w:p>
            <w:r>
              <w:rPr>
                <w:rFonts w:ascii="Calibri" w:hAnsi="Calibri"/>
                <w:sz w:val="22"/>
              </w:rPr>
              <w:t>Jul 15 (Housing Act)</w:t>
            </w:r>
          </w:p>
        </w:tc>
        <w:tc>
          <w:tcPr>
            <w:tcW w:type="dxa" w:w="2160"/>
          </w:tcPr>
          <w:p>
            <w:r>
              <w:rPr>
                <w:rFonts w:ascii="Calibri" w:hAnsi="Calibri"/>
                <w:sz w:val="22"/>
              </w:rPr>
              <w:t>109.2</w:t>
            </w:r>
          </w:p>
        </w:tc>
        <w:tc>
          <w:tcPr>
            <w:tcW w:type="dxa" w:w="2160"/>
          </w:tcPr>
          <w:p>
            <w:r>
              <w:rPr>
                <w:rFonts w:ascii="Calibri" w:hAnsi="Calibri"/>
                <w:sz w:val="22"/>
              </w:rPr>
              <w:t>103.2</w:t>
            </w:r>
          </w:p>
        </w:tc>
        <w:tc>
          <w:tcPr>
            <w:tcW w:type="dxa" w:w="2160"/>
          </w:tcPr>
          <w:p>
            <w:r>
              <w:rPr>
                <w:rFonts w:ascii="Calibri" w:hAnsi="Calibri"/>
                <w:sz w:val="22"/>
              </w:rPr>
              <w:t>105.5</w:t>
            </w:r>
          </w:p>
        </w:tc>
      </w:tr>
      <w:tr>
        <w:tc>
          <w:tcPr>
            <w:tcW w:type="dxa" w:w="2160"/>
          </w:tcPr>
          <w:p>
            <w:r>
              <w:rPr>
                <w:rFonts w:ascii="Calibri" w:hAnsi="Calibri"/>
                <w:sz w:val="22"/>
              </w:rPr>
              <w:t>Jul 21 (Latest)</w:t>
            </w:r>
          </w:p>
        </w:tc>
        <w:tc>
          <w:tcPr>
            <w:tcW w:type="dxa" w:w="2160"/>
          </w:tcPr>
          <w:p>
            <w:r>
              <w:rPr>
                <w:rFonts w:ascii="Calibri" w:hAnsi="Calibri"/>
                <w:sz w:val="22"/>
              </w:rPr>
              <w:t>109.4</w:t>
            </w:r>
          </w:p>
        </w:tc>
        <w:tc>
          <w:tcPr>
            <w:tcW w:type="dxa" w:w="2160"/>
          </w:tcPr>
          <w:p>
            <w:r>
              <w:rPr>
                <w:rFonts w:ascii="Calibri" w:hAnsi="Calibri"/>
                <w:sz w:val="22"/>
              </w:rPr>
              <w:t>105.0</w:t>
            </w:r>
          </w:p>
        </w:tc>
        <w:tc>
          <w:tcPr>
            <w:tcW w:type="dxa" w:w="2160"/>
          </w:tcPr>
          <w:p>
            <w:r>
              <w:rPr>
                <w:rFonts w:ascii="Calibri" w:hAnsi="Calibri"/>
                <w:sz w:val="22"/>
              </w:rPr>
              <w:t>104.6</w:t>
            </w:r>
          </w:p>
        </w:tc>
      </w:tr>
    </w:tbl>
    <w:p>
      <w:r>
        <w:rPr>
          <w:rFonts w:ascii="Calibri" w:hAnsi="Calibri"/>
          <w:i/>
          <w:color w:val="525866"/>
          <w:sz w:val="22"/>
        </w:rPr>
        <w:t xml:space="preserve">Note: </w:t>
      </w:r>
      <w:r>
        <w:rPr>
          <w:rFonts w:ascii="Calibri" w:hAnsi="Calibri"/>
          <w:i/>
          <w:color w:val="525866"/>
          <w:sz w:val="22"/>
        </w:rPr>
        <w:t>VNQ (Vanguard Real Estate ETF) is used as the residential REIT sector benchmark. Indexed to 100 at April 27, 2026 close. AVB’s outperformance vs. VNQ (+4.4 pts) reflects merger premium and peak-leasing optimism; outperformance vs. SPY (+4.8 pts) reflects REIT sector re-rating on declining rate expectations and the housing supply legislation.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AVB-EQR merger of equals (announced May 21, 2026)</w:t>
      </w:r>
      <w:r>
        <w:rPr>
          <w:rFonts w:ascii="Calibri" w:hAnsi="Calibri"/>
          <w:color w:val="525866"/>
          <w:sz w:val="22"/>
        </w:rPr>
        <w:t xml:space="preserve"> is the dominant event since Q1 earnings — it redefines AVB’s strategic trajectory, constrains near-term capital allocation, and introduces integration risk, but also unlocks $125M of projected net synergies and a $4.4B combined development pipeline.</w:t>
      </w:r>
    </w:p>
    <w:p>
      <w:pPr>
        <w:pStyle w:val="ListBullet"/>
        <w:ind w:left="360" w:hanging="360"/>
      </w:pPr>
      <w:r>
        <w:rPr>
          <w:rFonts w:ascii="Calibri" w:hAnsi="Calibri"/>
          <w:b/>
          <w:color w:val="525866"/>
          <w:sz w:val="22"/>
        </w:rPr>
        <w:t>May 20–21, 2026 — AVB-EQR Merger of Equals Announced.</w:t>
      </w:r>
      <w:r>
        <w:rPr>
          <w:rFonts w:ascii="Calibri" w:hAnsi="Calibri"/>
          <w:color w:val="525866"/>
          <w:sz w:val="22"/>
        </w:rPr>
        <w:t xml:space="preserve"> AvalonBay and Equity Residential entered into a definitive all-stock merger agreement (signed May 20; disclosed May 21). Exchange ratio: 2.793 EQR shares per AVB share. Pro forma enterprise value ~$69B; 180,000+ apartment homes. Benjamin Schall (AVB CEO) to lead the combined company; Mark Parrell (EQR CEO) to retire at close. Expected close: H2 2026. </w:t>
      </w:r>
    </w:p>
    <w:p>
      <w:pPr>
        <w:pStyle w:val="ListBullet"/>
        <w:ind w:left="360" w:hanging="360"/>
      </w:pPr>
      <w:r>
        <w:rPr>
          <w:rFonts w:ascii="Calibri" w:hAnsi="Calibri"/>
          <w:i/>
          <w:color w:val="525866"/>
          <w:sz w:val="22"/>
        </w:rPr>
        <w:t>Implication:</w:t>
      </w:r>
      <w:r>
        <w:rPr>
          <w:rFonts w:ascii="Calibri" w:hAnsi="Calibri"/>
          <w:color w:val="525866"/>
          <w:sz w:val="22"/>
        </w:rPr>
        <w:t xml:space="preserve"> Transformative strategic event. Merger constrains AVB’s standalone capital allocation (dividend capped at $1.78/quarter, no acquisitions without EQR consent), introduces ~$50M of California property-tax reassessment costs, but projects $125M net run-rate synergies and ~2% FFO accretion to both companies. No regulatory approval required (no market exceeds 2–3% competitive stock share).</w:t>
      </w:r>
    </w:p>
    <w:p>
      <w:pPr>
        <w:pStyle w:val="ListBullet"/>
        <w:ind w:left="360" w:hanging="360"/>
      </w:pPr>
      <w:r>
        <w:rPr>
          <w:rFonts w:ascii="Calibri" w:hAnsi="Calibri"/>
          <w:b/>
          <w:color w:val="525866"/>
          <w:sz w:val="22"/>
        </w:rPr>
        <w:t>May 21, 2026 — Merger Conference Call.</w:t>
      </w:r>
      <w:r>
        <w:rPr>
          <w:rFonts w:ascii="Calibri" w:hAnsi="Calibri"/>
          <w:color w:val="525866"/>
          <w:sz w:val="22"/>
        </w:rPr>
        <w:t xml:space="preserve"> Management detailed $175M gross / $125M net synergies (80% expense-driven, 20% service revenue), $4.4B of development under construction at &gt;6% yield, and $4.2B development rights pipeline. Closing expected H2 2026; proxy process to begin within 30–45 days of announcement.</w:t>
      </w:r>
    </w:p>
    <w:p>
      <w:pPr>
        <w:pStyle w:val="ListBullet"/>
        <w:ind w:left="360" w:hanging="360"/>
      </w:pPr>
      <w:r>
        <w:rPr>
          <w:rFonts w:ascii="Calibri" w:hAnsi="Calibri"/>
          <w:b/>
          <w:color w:val="525866"/>
          <w:sz w:val="22"/>
        </w:rPr>
        <w:t>July 15, 2026 — 21st Century ROAD to Housing Act Enacted.</w:t>
      </w:r>
      <w:r>
        <w:rPr>
          <w:rFonts w:ascii="Calibri" w:hAnsi="Calibri"/>
          <w:color w:val="525866"/>
          <w:sz w:val="22"/>
        </w:rPr>
        <w:t xml:space="preserve"> Bipartisan housing supply legislation passed House 358–32 and Senate 85–5. Designed to boost housing supply through zoning reform and federal land use changes. </w:t>
      </w:r>
    </w:p>
    <w:p>
      <w:pPr>
        <w:pStyle w:val="ListBullet"/>
        <w:ind w:left="360" w:hanging="360"/>
      </w:pPr>
      <w:r>
        <w:rPr>
          <w:rFonts w:ascii="Calibri" w:hAnsi="Calibri"/>
          <w:i/>
          <w:color w:val="525866"/>
          <w:sz w:val="22"/>
        </w:rPr>
        <w:t>Implication:</w:t>
      </w:r>
      <w:r>
        <w:rPr>
          <w:rFonts w:ascii="Calibri" w:hAnsi="Calibri"/>
          <w:color w:val="525866"/>
          <w:sz w:val="22"/>
        </w:rPr>
        <w:t xml:space="preserve"> Positive for long-term multifamily demand (more supply = more renters in transition); near-term neutral to slightly positive for AVB given its coastal/suburban positioning in high-barrier markets where new supply is already at post-GFC lows.</w:t>
      </w:r>
    </w:p>
    <w:p>
      <w:pPr>
        <w:pStyle w:val="ListBullet"/>
        <w:ind w:left="360" w:hanging="360"/>
      </w:pPr>
      <w:r>
        <w:rPr>
          <w:rFonts w:ascii="Calibri" w:hAnsi="Calibri"/>
          <w:b/>
          <w:color w:val="525866"/>
          <w:sz w:val="22"/>
        </w:rPr>
        <w:t>July 21, 2026 — Rental Companies Selling Property Post-Housing Legislation.</w:t>
      </w:r>
      <w:r>
        <w:rPr>
          <w:rFonts w:ascii="Calibri" w:hAnsi="Calibri"/>
          <w:color w:val="525866"/>
          <w:sz w:val="22"/>
        </w:rPr>
        <w:t xml:space="preserve"> CNBC reported rental companies are selling more property following the new housing legislation. </w:t>
      </w:r>
    </w:p>
    <w:p>
      <w:pPr>
        <w:pStyle w:val="ListBullet"/>
        <w:ind w:left="360" w:hanging="360"/>
      </w:pPr>
      <w:r>
        <w:rPr>
          <w:rFonts w:ascii="Calibri" w:hAnsi="Calibri"/>
          <w:i/>
          <w:color w:val="525866"/>
          <w:sz w:val="22"/>
        </w:rPr>
        <w:t>Implication:</w:t>
      </w:r>
      <w:r>
        <w:rPr>
          <w:rFonts w:ascii="Calibri" w:hAnsi="Calibri"/>
          <w:color w:val="525866"/>
          <w:sz w:val="22"/>
        </w:rPr>
        <w:t xml:space="preserve"> Potential disposition tailwind for AVB’s planned asset recycling program (~$500M annual disposition capacity).</w:t>
      </w:r>
    </w:p>
    <w:p>
      <w:pPr>
        <w:pStyle w:val="ListBullet"/>
        <w:ind w:left="360" w:hanging="360"/>
      </w:pPr>
      <w:r>
        <w:rPr>
          <w:rFonts w:ascii="Calibri" w:hAnsi="Calibri"/>
          <w:b/>
          <w:color w:val="525866"/>
          <w:sz w:val="22"/>
        </w:rPr>
        <w:t>Q1 2026 (April 27) — $200M Share Repurchase Completed.</w:t>
      </w:r>
      <w:r>
        <w:rPr>
          <w:rFonts w:ascii="Calibri" w:hAnsi="Calibri"/>
          <w:color w:val="525866"/>
          <w:sz w:val="22"/>
        </w:rPr>
        <w:t xml:space="preserve"> AVB repurchased 1.13M shares at avg $175.59 in Q1 2026 under the new $1B 2026 repurchase program. $914M remains available. No repurchases since March 31 (merger agreement restricts further buybacks without EQR consent).</w:t>
      </w:r>
    </w:p>
    <w:p>
      <w:pPr>
        <w:pStyle w:val="ListBullet"/>
        <w:ind w:left="360" w:hanging="360"/>
      </w:pPr>
      <w:r>
        <w:rPr>
          <w:rFonts w:ascii="Calibri" w:hAnsi="Calibri"/>
          <w:b/>
          <w:color w:val="525866"/>
          <w:sz w:val="22"/>
        </w:rPr>
        <w:t>Q1 2026 (April 27) — $340M of Dispositions Completed.</w:t>
      </w:r>
      <w:r>
        <w:rPr>
          <w:rFonts w:ascii="Calibri" w:hAnsi="Calibri"/>
          <w:color w:val="525866"/>
          <w:sz w:val="22"/>
        </w:rPr>
        <w:t xml:space="preserve"> Sold Avalon Sunset Towers (SF), Avalon White Plains (NY), and Avalon The Albemarle (DC) for $340.75M; GAAP gain $179.7M. Proceeds recycled into share repurchases rather than planned acquisitions.</w:t>
      </w:r>
    </w:p>
    <w:p>
      <w:pPr>
        <w:pStyle w:val="ListBullet"/>
        <w:ind w:left="360" w:hanging="360"/>
      </w:pPr>
      <w:r>
        <w:rPr>
          <w:rFonts w:ascii="Calibri" w:hAnsi="Calibri"/>
          <w:b/>
          <w:color w:val="525866"/>
          <w:sz w:val="22"/>
        </w:rPr>
        <w:t>Q1 2026 (April 27) — Development Pipeline Update.</w:t>
      </w:r>
      <w:r>
        <w:rPr>
          <w:rFonts w:ascii="Calibri" w:hAnsi="Calibri"/>
          <w:color w:val="525866"/>
          <w:sz w:val="22"/>
        </w:rPr>
        <w:t xml:space="preserve"> 25 communities under construction; 8,673 homes; $3.39B total capital cost; 6.3% projected initial stabilized yield. Two new starts in suburban NJ ($188M). Development NOI projected at $47M in 2026, ramping to $120M in 2027.</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No open-market buys or sells (Form 4 codes P/S) were filed in the post-Q1 window. All insider activity consists of </w:t>
      </w:r>
      <w:r>
        <w:rPr>
          <w:rFonts w:ascii="Calibri" w:hAnsi="Calibri"/>
          <w:b/>
          <w:color w:val="525866"/>
          <w:sz w:val="22"/>
        </w:rPr>
        <w:t>routine director equity award grants (code A)</w:t>
      </w:r>
      <w:r>
        <w:rPr>
          <w:rFonts w:ascii="Calibri" w:hAnsi="Calibri"/>
          <w:color w:val="525866"/>
          <w:sz w:val="22"/>
        </w:rPr>
        <w:t xml:space="preserve"> — two tranches in May 2026 tied to annual director compensation. The absence of any discretionary open-market selling by executives is a mild positive signal, particularly given the stock’s ~9% rally since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Multiple Directors (11 individuals)</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1,082 shares each</w:t>
            </w:r>
          </w:p>
        </w:tc>
        <w:tc>
          <w:tcPr>
            <w:tcW w:type="dxa" w:w="1440"/>
          </w:tcPr>
          <w:p>
            <w:r>
              <w:rPr>
                <w:rFonts w:ascii="Calibri" w:hAnsi="Calibri"/>
                <w:sz w:val="22"/>
              </w:rPr>
              <w:t>May 28, 2026</w:t>
            </w:r>
          </w:p>
        </w:tc>
        <w:tc>
          <w:tcPr>
            <w:tcW w:type="dxa" w:w="1440"/>
          </w:tcPr>
          <w:p>
            <w:r>
              <w:rPr>
                <w:rFonts w:ascii="Calibri" w:hAnsi="Calibri"/>
                <w:sz w:val="22"/>
              </w:rPr>
              <w:t>Annual director equity compensation; non-discretionary grant. Not an open-market purchase.</w:t>
            </w:r>
          </w:p>
        </w:tc>
      </w:tr>
      <w:tr>
        <w:tc>
          <w:tcPr>
            <w:tcW w:type="dxa" w:w="1440"/>
          </w:tcPr>
          <w:p>
            <w:r>
              <w:rPr>
                <w:rFonts w:ascii="Calibri" w:hAnsi="Calibri"/>
                <w:sz w:val="22"/>
              </w:rPr>
              <w:t>Brown, Terry S.</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203 shares</w:t>
            </w:r>
          </w:p>
        </w:tc>
        <w:tc>
          <w:tcPr>
            <w:tcW w:type="dxa" w:w="1440"/>
          </w:tcPr>
          <w:p>
            <w:r>
              <w:rPr>
                <w:rFonts w:ascii="Calibri" w:hAnsi="Calibri"/>
                <w:sz w:val="22"/>
              </w:rPr>
              <w:t>May 19, 2026</w:t>
            </w:r>
          </w:p>
        </w:tc>
        <w:tc>
          <w:tcPr>
            <w:tcW w:type="dxa" w:w="1440"/>
          </w:tcPr>
          <w:p>
            <w:r>
              <w:rPr>
                <w:rFonts w:ascii="Calibri" w:hAnsi="Calibri"/>
                <w:sz w:val="22"/>
              </w:rPr>
              <w:t>Supplemental director grant; non-discretionary.</w:t>
            </w:r>
          </w:p>
        </w:tc>
      </w:tr>
      <w:tr>
        <w:tc>
          <w:tcPr>
            <w:tcW w:type="dxa" w:w="1440"/>
          </w:tcPr>
          <w:p>
            <w:r>
              <w:rPr>
                <w:rFonts w:ascii="Calibri" w:hAnsi="Calibri"/>
                <w:sz w:val="22"/>
              </w:rPr>
              <w:t>Flynn, Conor C.</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135 shares</w:t>
            </w:r>
          </w:p>
        </w:tc>
        <w:tc>
          <w:tcPr>
            <w:tcW w:type="dxa" w:w="1440"/>
          </w:tcPr>
          <w:p>
            <w:r>
              <w:rPr>
                <w:rFonts w:ascii="Calibri" w:hAnsi="Calibri"/>
                <w:sz w:val="22"/>
              </w:rPr>
              <w:t>May 19, 2026</w:t>
            </w:r>
          </w:p>
        </w:tc>
        <w:tc>
          <w:tcPr>
            <w:tcW w:type="dxa" w:w="1440"/>
          </w:tcPr>
          <w:p>
            <w:r>
              <w:rPr>
                <w:rFonts w:ascii="Calibri" w:hAnsi="Calibri"/>
                <w:sz w:val="22"/>
              </w:rPr>
              <w:t>Supplemental director grant; non-discretionary.</w:t>
            </w:r>
          </w:p>
        </w:tc>
      </w:tr>
      <w:tr>
        <w:tc>
          <w:tcPr>
            <w:tcW w:type="dxa" w:w="1440"/>
          </w:tcPr>
          <w:p>
            <w:r>
              <w:rPr>
                <w:rFonts w:ascii="Calibri" w:hAnsi="Calibri"/>
                <w:sz w:val="22"/>
              </w:rPr>
              <w:t>Havner, Ronald L. Jr.</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135 shares</w:t>
            </w:r>
          </w:p>
        </w:tc>
        <w:tc>
          <w:tcPr>
            <w:tcW w:type="dxa" w:w="1440"/>
          </w:tcPr>
          <w:p>
            <w:r>
              <w:rPr>
                <w:rFonts w:ascii="Calibri" w:hAnsi="Calibri"/>
                <w:sz w:val="22"/>
              </w:rPr>
              <w:t>May 19, 2026</w:t>
            </w:r>
          </w:p>
        </w:tc>
        <w:tc>
          <w:tcPr>
            <w:tcW w:type="dxa" w:w="1440"/>
          </w:tcPr>
          <w:p>
            <w:r>
              <w:rPr>
                <w:rFonts w:ascii="Calibri" w:hAnsi="Calibri"/>
                <w:sz w:val="22"/>
              </w:rPr>
              <w:t>Supplemental director grant; non-discretionary.</w:t>
            </w:r>
          </w:p>
        </w:tc>
      </w:tr>
      <w:tr>
        <w:tc>
          <w:tcPr>
            <w:tcW w:type="dxa" w:w="1440"/>
          </w:tcPr>
          <w:p>
            <w:r>
              <w:rPr>
                <w:rFonts w:ascii="Calibri" w:hAnsi="Calibri"/>
                <w:sz w:val="22"/>
              </w:rPr>
              <w:t>Howard, Christopher B.</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135 shares</w:t>
            </w:r>
          </w:p>
        </w:tc>
        <w:tc>
          <w:tcPr>
            <w:tcW w:type="dxa" w:w="1440"/>
          </w:tcPr>
          <w:p>
            <w:r>
              <w:rPr>
                <w:rFonts w:ascii="Calibri" w:hAnsi="Calibri"/>
                <w:sz w:val="22"/>
              </w:rPr>
              <w:t>May 19, 2026</w:t>
            </w:r>
          </w:p>
        </w:tc>
        <w:tc>
          <w:tcPr>
            <w:tcW w:type="dxa" w:w="1440"/>
          </w:tcPr>
          <w:p>
            <w:r>
              <w:rPr>
                <w:rFonts w:ascii="Calibri" w:hAnsi="Calibri"/>
                <w:sz w:val="22"/>
              </w:rPr>
              <w:t>Supplemental director grant; non-discretionary.</w:t>
            </w:r>
          </w:p>
        </w:tc>
      </w:tr>
      <w:tr>
        <w:tc>
          <w:tcPr>
            <w:tcW w:type="dxa" w:w="1440"/>
          </w:tcPr>
          <w:p>
            <w:r>
              <w:rPr>
                <w:rFonts w:ascii="Calibri" w:hAnsi="Calibri"/>
                <w:sz w:val="22"/>
              </w:rPr>
              <w:t>Mueller, Charles E. Jr.</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176 shares</w:t>
            </w:r>
          </w:p>
        </w:tc>
        <w:tc>
          <w:tcPr>
            <w:tcW w:type="dxa" w:w="1440"/>
          </w:tcPr>
          <w:p>
            <w:r>
              <w:rPr>
                <w:rFonts w:ascii="Calibri" w:hAnsi="Calibri"/>
                <w:sz w:val="22"/>
              </w:rPr>
              <w:t>May 19, 2026</w:t>
            </w:r>
          </w:p>
        </w:tc>
        <w:tc>
          <w:tcPr>
            <w:tcW w:type="dxa" w:w="1440"/>
          </w:tcPr>
          <w:p>
            <w:r>
              <w:rPr>
                <w:rFonts w:ascii="Calibri" w:hAnsi="Calibri"/>
                <w:sz w:val="22"/>
              </w:rPr>
              <w:t>Supplemental director grant; non-discretionary.</w:t>
            </w:r>
          </w:p>
        </w:tc>
      </w:tr>
    </w:tbl>
    <w:p>
      <w:r>
        <w:rPr>
          <w:rFonts w:ascii="Calibri" w:hAnsi="Calibri"/>
          <w:i/>
          <w:color w:val="525866"/>
          <w:sz w:val="22"/>
        </w:rPr>
        <w:t xml:space="preserve">Note: </w:t>
      </w:r>
      <w:r>
        <w:rPr>
          <w:rFonts w:ascii="Calibri" w:hAnsi="Calibri"/>
          <w:i/>
          <w:color w:val="525866"/>
          <w:sz w:val="22"/>
        </w:rPr>
        <w:t>No open-market purchases (Code P) or open-market sales (Code S) were filed by any AVB insider in the April 27 – July 21, 2026 window. All transactions are non-discretionary equity award grants to directors. The merger agreement may also restrict executive open-market transactions during the pendency of the deal.</w:t>
      </w:r>
    </w:p>
    <w:p>
      <w:r>
        <w:rPr>
          <w:rFonts w:ascii="Calibri" w:hAnsi="Calibri"/>
          <w:i/>
          <w:color w:val="525866"/>
          <w:sz w:val="22"/>
        </w:rPr>
        <w:t>Source: SEC Form 4 Filings Database.</w:t>
      </w:r>
    </w:p>
    <w:p>
      <w:r>
        <w:br w:type="page"/>
      </w:r>
    </w:p>
    <w:p>
      <w:pPr>
        <w:pStyle w:val="Heading1"/>
        <w:pBdr>
          <w:bottom w:val="single" w:sz="4" w:space="1" w:color="FB9120"/>
        </w:pBdr>
      </w:pPr>
      <w:r>
        <w:rPr>
          <w:rFonts w:ascii="Calibri" w:hAnsi="Calibri"/>
          <w:b/>
          <w:color w:val="3B4259"/>
          <w:sz w:val="40"/>
        </w:rPr>
        <w:t>8. Peer Commentary &amp;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constructive on Q2 2026 leasing trends</w:t>
      </w:r>
      <w:r>
        <w:rPr>
          <w:rFonts w:ascii="Calibri" w:hAnsi="Calibri"/>
          <w:color w:val="525866"/>
          <w:sz w:val="22"/>
        </w:rPr>
        <w:t xml:space="preserve"> — blended lease rates accelerating, occupancy stable-to-improving, and supply declining across both coastal (ESS) and Sunbelt (MAA) markets. The read-through for AVB is </w:t>
      </w:r>
      <w:r>
        <w:rPr>
          <w:rFonts w:ascii="Calibri" w:hAnsi="Calibri"/>
          <w:b/>
          <w:color w:val="525866"/>
          <w:sz w:val="22"/>
        </w:rPr>
        <w:t>directly positive</w:t>
      </w:r>
      <w:r>
        <w:rPr>
          <w:rFonts w:ascii="Calibri" w:hAnsi="Calibri"/>
          <w:color w:val="525866"/>
          <w:sz w:val="22"/>
        </w:rPr>
        <w:t xml:space="preserve"> on coastal markets (NY Metro, Northern California, Seattle) and </w:t>
      </w:r>
      <w:r>
        <w:rPr>
          <w:rFonts w:ascii="Calibri" w:hAnsi="Calibri"/>
          <w:b/>
          <w:color w:val="525866"/>
          <w:sz w:val="22"/>
        </w:rPr>
        <w:t>indirectly positive</w:t>
      </w:r>
      <w:r>
        <w:rPr>
          <w:rFonts w:ascii="Calibri" w:hAnsi="Calibri"/>
          <w:color w:val="525866"/>
          <w:sz w:val="22"/>
        </w:rPr>
        <w:t xml:space="preserve"> on broader demand/supply dynamics.</w:t>
      </w:r>
    </w:p>
    <w:p>
      <w:r>
        <w:rPr>
          <w:rFonts w:ascii="Calibri" w:hAnsi="Calibri"/>
          <w:i/>
          <w:color w:val="525866"/>
          <w:sz w:val="22"/>
        </w:rPr>
        <w:t xml:space="preserve">Scope: </w:t>
      </w:r>
      <w:r>
        <w:rPr>
          <w:rFonts w:ascii="Calibri" w:hAnsi="Calibri"/>
          <w:i/>
          <w:color w:val="525866"/>
          <w:sz w:val="22"/>
        </w:rPr>
        <w:t>Only commentary made after April 27, 2026 (post-Q1 earnings) that explicitly addresses Q2 2026 operating trends or forward leasing conditions is included. Retrospective Q1 results commentary is excluded.</w:t>
      </w:r>
    </w:p>
    <w:p>
      <w:pPr>
        <w:pStyle w:val="Heading2"/>
      </w:pPr>
      <w:r>
        <w:rPr>
          <w:rFonts w:ascii="Calibri" w:hAnsi="Calibri"/>
          <w:b/>
          <w:color w:val="3B4259"/>
          <w:sz w:val="28"/>
        </w:rPr>
        <w:t>Essex Property Trust (ESS) — Nareit REITweek, June 3, 2026</w:t>
      </w:r>
    </w:p>
    <w:p>
      <w:r>
        <w:rPr>
          <w:rFonts w:ascii="Calibri" w:hAnsi="Calibri"/>
          <w:b/>
          <w:color w:val="525866"/>
          <w:sz w:val="22"/>
        </w:rPr>
        <w:t xml:space="preserve">Read-Through Type: </w:t>
      </w:r>
      <w:r>
        <w:rPr>
          <w:rFonts w:ascii="Calibri" w:hAnsi="Calibri"/>
          <w:b/>
          <w:color w:val="30A46C"/>
          <w:sz w:val="22"/>
        </w:rPr>
        <w:t>DIRECT</w:t>
      </w:r>
      <w:r>
        <w:rPr>
          <w:rFonts w:ascii="Calibri" w:hAnsi="Calibri"/>
          <w:color w:val="525866"/>
          <w:sz w:val="22"/>
        </w:rPr>
        <w:t xml:space="preserve"> — ESS operates in the same coastal West Coast markets as AVB (Northern California, Southern California, Seattle).</w:t>
      </w:r>
    </w:p>
    <w:p>
      <w:pPr>
        <w:pStyle w:val="ListBullet"/>
        <w:ind w:left="360" w:hanging="360"/>
      </w:pPr>
      <w:r>
        <w:rPr>
          <w:rFonts w:ascii="Calibri" w:hAnsi="Calibri"/>
          <w:b/>
          <w:color w:val="525866"/>
          <w:sz w:val="22"/>
        </w:rPr>
        <w:t xml:space="preserve">Blended lease rate acceleration: </w:t>
      </w:r>
      <w:r>
        <w:rPr>
          <w:rFonts w:ascii="Calibri" w:hAnsi="Calibri"/>
          <w:color w:val="525866"/>
          <w:sz w:val="22"/>
        </w:rPr>
        <w:t>ESS reported blended lease rates moved from 1.4% in Q1 to 3.1% in April and 3.7% in May — a 230 bps sequential acceleration into Q2. ESS noted it is “trending ahead of guidance” and plans to revisit full-year guidance after Q2 numbers are finalized.</w:t>
      </w:r>
    </w:p>
    <w:p>
      <w:pPr>
        <w:pStyle w:val="ListBullet"/>
        <w:ind w:left="360" w:hanging="360"/>
      </w:pPr>
      <w:r>
        <w:rPr>
          <w:rFonts w:ascii="Calibri" w:hAnsi="Calibri"/>
          <w:i/>
          <w:color w:val="525866"/>
          <w:sz w:val="22"/>
        </w:rPr>
        <w:t>AVB Read-Through:</w:t>
      </w:r>
      <w:r>
        <w:rPr>
          <w:rFonts w:ascii="Calibri" w:hAnsi="Calibri"/>
          <w:color w:val="525866"/>
          <w:sz w:val="22"/>
        </w:rPr>
        <w:t xml:space="preserve"> Directly positive for AVB’s coastal same-store revenue trajectory. AVB’s own Q1 call noted renewal offers for May/June sent at 5%–5.5% — consistent with ESS’s observed acceleration. If ESS raises guidance on its Q2 call, it would be a strong leading indicator for AVB.</w:t>
      </w:r>
    </w:p>
    <w:p>
      <w:pPr>
        <w:pStyle w:val="ListBullet"/>
        <w:ind w:left="360" w:hanging="360"/>
      </w:pPr>
      <w:r>
        <w:rPr>
          <w:rFonts w:ascii="Calibri" w:hAnsi="Calibri"/>
          <w:b/>
          <w:color w:val="525866"/>
          <w:sz w:val="22"/>
        </w:rPr>
        <w:t xml:space="preserve">Supply at historical lows: </w:t>
      </w:r>
      <w:r>
        <w:rPr>
          <w:rFonts w:ascii="Calibri" w:hAnsi="Calibri"/>
          <w:color w:val="525866"/>
          <w:sz w:val="22"/>
        </w:rPr>
        <w:t>West Coast total housing supply at ~40 bps vs. normal ~70 bps. Seattle supply down ~25% YoY and expected to fall further next year. Oakland described as an “up and comer” tracking close to SF/South Bay performance.</w:t>
      </w:r>
    </w:p>
    <w:p>
      <w:pPr>
        <w:pStyle w:val="ListBullet"/>
        <w:ind w:left="360" w:hanging="360"/>
      </w:pPr>
      <w:r>
        <w:rPr>
          <w:rFonts w:ascii="Calibri" w:hAnsi="Calibri"/>
          <w:i/>
          <w:color w:val="525866"/>
          <w:sz w:val="22"/>
        </w:rPr>
        <w:t>AVB Read-Through:</w:t>
      </w:r>
      <w:r>
        <w:rPr>
          <w:rFonts w:ascii="Calibri" w:hAnsi="Calibri"/>
          <w:color w:val="525866"/>
          <w:sz w:val="22"/>
        </w:rPr>
        <w:t xml:space="preserve"> Directly positive. AVB’s Q1 call highlighted Northern California (SF strongest, then San Jose, then East Bay) and Seattle as underperformers vs. budget — ESS’s data suggests these markets are improving into Q2.</w:t>
      </w:r>
    </w:p>
    <w:p>
      <w:pPr>
        <w:pStyle w:val="ListBullet"/>
        <w:ind w:left="360" w:hanging="360"/>
      </w:pPr>
      <w:r>
        <w:rPr>
          <w:rFonts w:ascii="Calibri" w:hAnsi="Calibri"/>
          <w:b/>
          <w:color w:val="525866"/>
          <w:sz w:val="22"/>
        </w:rPr>
        <w:t xml:space="preserve">Northern California AI-driven demand: </w:t>
      </w:r>
      <w:r>
        <w:rPr>
          <w:rFonts w:ascii="Calibri" w:hAnsi="Calibri"/>
          <w:color w:val="525866"/>
          <w:sz w:val="22"/>
        </w:rPr>
        <w:t xml:space="preserve"> ESS noted AI job postings up YoY, top-20 tech job postings at 2016–2019 levels, and the Bay Area experiencing positive net domestic in-migration for the first time in decades. ESS uses 4% base-case rent growth assumption for Northern California.</w:t>
      </w:r>
    </w:p>
    <w:p>
      <w:pPr>
        <w:pStyle w:val="ListBullet"/>
        <w:ind w:left="360" w:hanging="360"/>
      </w:pPr>
      <w:r>
        <w:rPr>
          <w:rFonts w:ascii="Calibri" w:hAnsi="Calibri"/>
          <w:i/>
          <w:color w:val="525866"/>
          <w:sz w:val="22"/>
        </w:rPr>
        <w:t>AVB Read-Through:</w:t>
      </w:r>
      <w:r>
        <w:rPr>
          <w:rFonts w:ascii="Calibri" w:hAnsi="Calibri"/>
          <w:color w:val="525866"/>
          <w:sz w:val="22"/>
        </w:rPr>
        <w:t xml:space="preserve"> Directly positive for AVB’s Northern California portfolio. Healthy net job growth was cited by AVB management as a key driver of Q1 outperformance in that region.</w:t>
      </w:r>
    </w:p>
    <w:p>
      <w:pPr>
        <w:pStyle w:val="ListBullet"/>
        <w:ind w:left="360" w:hanging="360"/>
      </w:pPr>
      <w:r>
        <w:rPr>
          <w:rFonts w:ascii="Calibri" w:hAnsi="Calibri"/>
          <w:b/>
          <w:color w:val="525866"/>
          <w:sz w:val="22"/>
        </w:rPr>
        <w:t xml:space="preserve">Los Angeles: </w:t>
      </w:r>
      <w:r>
        <w:rPr>
          <w:rFonts w:ascii="Calibri" w:hAnsi="Calibri"/>
          <w:color w:val="525866"/>
          <w:sz w:val="22"/>
        </w:rPr>
        <w:t xml:space="preserve"> Economic occupancy at 94.5% (up from 92.5% two years ago); supply beginning to decrease. ESS does not see a clear near-term catalyst for a sharp turnaround but notes pricing power could return with modest economic improvement.</w:t>
      </w:r>
    </w:p>
    <w:p>
      <w:pPr>
        <w:pStyle w:val="ListBullet"/>
        <w:ind w:left="360" w:hanging="360"/>
      </w:pPr>
      <w:r>
        <w:rPr>
          <w:rFonts w:ascii="Calibri" w:hAnsi="Calibri"/>
          <w:i/>
          <w:color w:val="525866"/>
          <w:sz w:val="22"/>
        </w:rPr>
        <w:t>AVB Read-Through:</w:t>
      </w:r>
      <w:r>
        <w:rPr>
          <w:rFonts w:ascii="Calibri" w:hAnsi="Calibri"/>
          <w:color w:val="525866"/>
          <w:sz w:val="22"/>
        </w:rPr>
        <w:t xml:space="preserve"> Neutral-to-slightly positive. AVB’s LA portfolio modestly underperformed in Q1; ESS’s commentary suggests stabilization rather than acceleration.</w:t>
      </w:r>
    </w:p>
    <w:p>
      <w:pPr>
        <w:pStyle w:val="Heading2"/>
      </w:pPr>
      <w:r>
        <w:rPr>
          <w:rFonts w:ascii="Calibri" w:hAnsi="Calibri"/>
          <w:b/>
          <w:color w:val="3B4259"/>
          <w:sz w:val="28"/>
        </w:rPr>
        <w:t>Mid-America Apartment Communities (MAA) — Nareit REITweek, June 3, 2026</w:t>
      </w:r>
    </w:p>
    <w:p>
      <w:r>
        <w:rPr>
          <w:rFonts w:ascii="Calibri" w:hAnsi="Calibri"/>
          <w:b/>
          <w:color w:val="525866"/>
          <w:sz w:val="22"/>
        </w:rPr>
        <w:t xml:space="preserve">Read-Through Type: </w:t>
      </w:r>
      <w:r>
        <w:rPr>
          <w:rFonts w:ascii="Calibri" w:hAnsi="Calibri"/>
          <w:b/>
          <w:color w:val="525866"/>
          <w:sz w:val="22"/>
        </w:rPr>
        <w:t>INDIRECT</w:t>
      </w:r>
      <w:r>
        <w:rPr>
          <w:rFonts w:ascii="Calibri" w:hAnsi="Calibri"/>
          <w:color w:val="525866"/>
          <w:sz w:val="22"/>
        </w:rPr>
        <w:t xml:space="preserve"> — MAA operates primarily in Sunbelt markets (not AVB’s coastal focus), but provides useful read-through on national demand/supply dynamics and leasing seasonality.</w:t>
      </w:r>
    </w:p>
    <w:p>
      <w:pPr>
        <w:pStyle w:val="ListBullet"/>
        <w:ind w:left="360" w:hanging="360"/>
      </w:pPr>
      <w:r>
        <w:rPr>
          <w:rFonts w:ascii="Calibri" w:hAnsi="Calibri"/>
          <w:b/>
          <w:color w:val="525866"/>
          <w:sz w:val="22"/>
        </w:rPr>
        <w:t xml:space="preserve">Blended lease rate acceleration: </w:t>
      </w:r>
      <w:r>
        <w:rPr>
          <w:rFonts w:ascii="Calibri" w:hAnsi="Calibri"/>
          <w:color w:val="525866"/>
          <w:sz w:val="22"/>
        </w:rPr>
        <w:t>MAA’s blended lease-over-lease rates accelerated ~140 bps in May vs. Q1; new lease rates improved 240 bps in May vs. Q1. Average blended lease pricing in May reached its highest level in almost two years. MAA is “pushing on rents” and seeing traction.</w:t>
      </w:r>
    </w:p>
    <w:p>
      <w:pPr>
        <w:pStyle w:val="ListBullet"/>
        <w:ind w:left="360" w:hanging="360"/>
      </w:pPr>
      <w:r>
        <w:rPr>
          <w:rFonts w:ascii="Calibri" w:hAnsi="Calibri"/>
          <w:i/>
          <w:color w:val="525866"/>
          <w:sz w:val="22"/>
        </w:rPr>
        <w:t>AVB Read-Through:</w:t>
      </w:r>
      <w:r>
        <w:rPr>
          <w:rFonts w:ascii="Calibri" w:hAnsi="Calibri"/>
          <w:color w:val="525866"/>
          <w:sz w:val="22"/>
        </w:rPr>
        <w:t xml:space="preserve"> Indirectly positive — confirms that the peak leasing season (May–August) is delivering the expected seasonal acceleration across the multifamily sector. AVB’s own guidance assumed a H2 ramp in blended rates; MAA’s data suggests the ramp is materializing on schedule.</w:t>
      </w:r>
    </w:p>
    <w:p>
      <w:pPr>
        <w:pStyle w:val="ListBullet"/>
        <w:ind w:left="360" w:hanging="360"/>
      </w:pPr>
      <w:r>
        <w:rPr>
          <w:rFonts w:ascii="Calibri" w:hAnsi="Calibri"/>
          <w:b/>
          <w:color w:val="525866"/>
          <w:sz w:val="22"/>
        </w:rPr>
        <w:t xml:space="preserve">Supply declining sharply: </w:t>
      </w:r>
      <w:r>
        <w:rPr>
          <w:rFonts w:ascii="Calibri" w:hAnsi="Calibri"/>
          <w:color w:val="525866"/>
          <w:sz w:val="22"/>
        </w:rPr>
        <w:t xml:space="preserve"> Sunbelt supply down ~40% YoY and ~60% from two years ago. New starts below long-term averages for three consecutive years; trailing 12-month starts at ~2% of inventory. MAA expressed “increased optimism compared to a year ago.”</w:t>
      </w:r>
    </w:p>
    <w:p>
      <w:pPr>
        <w:pStyle w:val="ListBullet"/>
        <w:ind w:left="360" w:hanging="360"/>
      </w:pPr>
      <w:r>
        <w:rPr>
          <w:rFonts w:ascii="Calibri" w:hAnsi="Calibri"/>
          <w:i/>
          <w:color w:val="525866"/>
          <w:sz w:val="22"/>
        </w:rPr>
        <w:t>AVB Read-Through:</w:t>
      </w:r>
      <w:r>
        <w:rPr>
          <w:rFonts w:ascii="Calibri" w:hAnsi="Calibri"/>
          <w:color w:val="525866"/>
          <w:sz w:val="22"/>
        </w:rPr>
        <w:t xml:space="preserve"> Indirectly positive. While AVB’s coastal markets already have lower supply, the national supply decline reduces the risk of demand migration from coastal to Sunbelt markets.</w:t>
      </w:r>
    </w:p>
    <w:p>
      <w:pPr>
        <w:pStyle w:val="ListBullet"/>
        <w:ind w:left="360" w:hanging="360"/>
      </w:pPr>
      <w:r>
        <w:rPr>
          <w:rFonts w:ascii="Calibri" w:hAnsi="Calibri"/>
          <w:b/>
          <w:color w:val="525866"/>
          <w:sz w:val="22"/>
        </w:rPr>
        <w:t xml:space="preserve">Resident health / bad debt: </w:t>
      </w:r>
      <w:r>
        <w:rPr>
          <w:rFonts w:ascii="Calibri" w:hAnsi="Calibri"/>
          <w:color w:val="525866"/>
          <w:sz w:val="22"/>
        </w:rPr>
        <w:t xml:space="preserve"> MAA residents at rent-to-income of ~20% (200 bps below two years ago); collections &gt;99%; delinquency at 30 bps (pre-COVID levels). No impact from higher oil prices or macro uncertainty on resident payment behavior.</w:t>
      </w:r>
    </w:p>
    <w:p>
      <w:pPr>
        <w:pStyle w:val="ListBullet"/>
        <w:ind w:left="360" w:hanging="360"/>
      </w:pPr>
      <w:r>
        <w:rPr>
          <w:rFonts w:ascii="Calibri" w:hAnsi="Calibri"/>
          <w:i/>
          <w:color w:val="525866"/>
          <w:sz w:val="22"/>
        </w:rPr>
        <w:t>AVB Read-Through:</w:t>
      </w:r>
      <w:r>
        <w:rPr>
          <w:rFonts w:ascii="Calibri" w:hAnsi="Calibri"/>
          <w:color w:val="525866"/>
          <w:sz w:val="22"/>
        </w:rPr>
        <w:t xml:space="preserve"> Indirectly positive. AVB’s coastal residents tend to have higher incomes; if Sunbelt residents are healthy, coastal residents are likely healthier. Reduces bad debt risk for Q2.</w:t>
      </w:r>
    </w:p>
    <w:p>
      <w:pPr>
        <w:pStyle w:val="ListBullet"/>
        <w:ind w:left="360" w:hanging="360"/>
      </w:pPr>
      <w:r>
        <w:rPr>
          <w:rFonts w:ascii="Calibri" w:hAnsi="Calibri"/>
          <w:b/>
          <w:color w:val="525866"/>
          <w:sz w:val="22"/>
        </w:rPr>
        <w:t xml:space="preserve">Job relocations picking up: </w:t>
      </w:r>
      <w:r>
        <w:rPr>
          <w:rFonts w:ascii="Calibri" w:hAnsi="Calibri"/>
          <w:color w:val="525866"/>
          <w:sz w:val="22"/>
        </w:rPr>
        <w:t xml:space="preserve"> MAA noted a pickup in job relocations over the last 3–4 months (Starbucks to Nashville, Goldman Sachs to Dallas, JPMorgan to Charlotte). Migration trends positive, in line with long-term averages.</w:t>
      </w:r>
    </w:p>
    <w:p>
      <w:pPr>
        <w:pStyle w:val="ListBullet"/>
        <w:ind w:left="360" w:hanging="360"/>
      </w:pPr>
      <w:r>
        <w:rPr>
          <w:rFonts w:ascii="Calibri" w:hAnsi="Calibri"/>
          <w:i/>
          <w:color w:val="525866"/>
          <w:sz w:val="22"/>
        </w:rPr>
        <w:t>AVB Read-Through:</w:t>
      </w:r>
      <w:r>
        <w:rPr>
          <w:rFonts w:ascii="Calibri" w:hAnsi="Calibri"/>
          <w:color w:val="525866"/>
          <w:sz w:val="22"/>
        </w:rPr>
        <w:t xml:space="preserve"> Neutral for AVB (Sunbelt-specific). However, the broader employment mobility trend supports multifamily demand nationally.</w:t>
      </w:r>
    </w:p>
    <w:p>
      <w:pPr>
        <w:pStyle w:val="Heading2"/>
      </w:pPr>
      <w:r>
        <w:rPr>
          <w:rFonts w:ascii="Calibri" w:hAnsi="Calibri"/>
          <w:b/>
          <w:color w:val="3B4259"/>
          <w:sz w:val="28"/>
        </w:rPr>
        <w:t>Invitation Homes (INVH) — Nareit REITweek, June 2, 2026</w:t>
      </w:r>
    </w:p>
    <w:p>
      <w:r>
        <w:rPr>
          <w:rFonts w:ascii="Calibri" w:hAnsi="Calibri"/>
          <w:b/>
          <w:color w:val="525866"/>
          <w:sz w:val="22"/>
        </w:rPr>
        <w:t xml:space="preserve">Read-Through Type: </w:t>
      </w:r>
      <w:r>
        <w:rPr>
          <w:rFonts w:ascii="Calibri" w:hAnsi="Calibri"/>
          <w:b/>
          <w:color w:val="525866"/>
          <w:sz w:val="22"/>
        </w:rPr>
        <w:t>INDIRECT</w:t>
      </w:r>
      <w:r>
        <w:rPr>
          <w:rFonts w:ascii="Calibri" w:hAnsi="Calibri"/>
          <w:color w:val="525866"/>
          <w:sz w:val="22"/>
        </w:rPr>
        <w:t xml:space="preserve"> — INVH is a single-family rental (SFR) operator, not a direct multifamily peer, but provides read-through on residential rental demand, supply, and pricing dynamics.</w:t>
      </w:r>
    </w:p>
    <w:p>
      <w:pPr>
        <w:pStyle w:val="ListBullet"/>
        <w:ind w:left="360" w:hanging="360"/>
      </w:pPr>
      <w:r>
        <w:rPr>
          <w:rFonts w:ascii="Calibri" w:hAnsi="Calibri"/>
          <w:b/>
          <w:color w:val="525866"/>
          <w:sz w:val="22"/>
        </w:rPr>
        <w:t xml:space="preserve">Spring leasing season tracking well: </w:t>
      </w:r>
      <w:r>
        <w:rPr>
          <w:rFonts w:ascii="Calibri" w:hAnsi="Calibri"/>
          <w:color w:val="525866"/>
          <w:sz w:val="22"/>
        </w:rPr>
        <w:t xml:space="preserve"> INVH reported same-store occupancy of 97.2% and blended lease rate growth of 2.5% in May quarter-to-date (April: 2.3%, May: 2.8%). New lease rate growth positive in both April and May. INVH noted demand is accelerating vs. prior year, with the new lease side “accelerating” in contrast to 2025 when it peaked earlier.</w:t>
      </w:r>
    </w:p>
    <w:p>
      <w:pPr>
        <w:pStyle w:val="ListBullet"/>
        <w:ind w:left="360" w:hanging="360"/>
      </w:pPr>
      <w:r>
        <w:rPr>
          <w:rFonts w:ascii="Calibri" w:hAnsi="Calibri"/>
          <w:i/>
          <w:color w:val="525866"/>
          <w:sz w:val="22"/>
        </w:rPr>
        <w:t>AVB Read-Through:</w:t>
      </w:r>
      <w:r>
        <w:rPr>
          <w:rFonts w:ascii="Calibri" w:hAnsi="Calibri"/>
          <w:color w:val="525866"/>
          <w:sz w:val="22"/>
        </w:rPr>
        <w:t xml:space="preserve"> Indirectly positive. Accelerating SFR demand and positive new lease rates suggest the residential rental market broadly is strengthening into peak season — consistent with AVB’s own commentary on occupancy north of 96% and asking rents up in the high-4% range.</w:t>
      </w:r>
    </w:p>
    <w:p>
      <w:pPr>
        <w:pStyle w:val="ListBullet"/>
        <w:ind w:left="360" w:hanging="360"/>
      </w:pPr>
      <w:r>
        <w:rPr>
          <w:rFonts w:ascii="Calibri" w:hAnsi="Calibri"/>
          <w:b/>
          <w:color w:val="525866"/>
          <w:sz w:val="22"/>
        </w:rPr>
        <w:t xml:space="preserve">Supply tightening: </w:t>
      </w:r>
      <w:r>
        <w:rPr>
          <w:rFonts w:ascii="Calibri" w:hAnsi="Calibri"/>
          <w:color w:val="525866"/>
          <w:sz w:val="22"/>
        </w:rPr>
        <w:t xml:space="preserve"> INVH noted the “build-to-rent peak delivery time is in the rearview mirror in all markets.” Mom-and-pop shadow supply declining over the last 3–5 months. Homebuilders building less YoY based on permitting data.</w:t>
      </w:r>
    </w:p>
    <w:p>
      <w:pPr>
        <w:pStyle w:val="ListBullet"/>
        <w:ind w:left="360" w:hanging="360"/>
      </w:pPr>
      <w:r>
        <w:rPr>
          <w:rFonts w:ascii="Calibri" w:hAnsi="Calibri"/>
          <w:i/>
          <w:color w:val="525866"/>
          <w:sz w:val="22"/>
        </w:rPr>
        <w:t>AVB Read-Through:</w:t>
      </w:r>
      <w:r>
        <w:rPr>
          <w:rFonts w:ascii="Calibri" w:hAnsi="Calibri"/>
          <w:color w:val="525866"/>
          <w:sz w:val="22"/>
        </w:rPr>
        <w:t xml:space="preserve"> Indirectly positive. Reduced SFR supply means fewer alternatives for renters, supporting multifamily occupancy and pricing power.</w:t>
      </w:r>
    </w:p>
    <w:p>
      <w:pPr>
        <w:pStyle w:val="ListBullet"/>
        <w:ind w:left="360" w:hanging="360"/>
      </w:pPr>
      <w:r>
        <w:rPr>
          <w:rFonts w:ascii="Calibri" w:hAnsi="Calibri"/>
          <w:b/>
          <w:color w:val="525866"/>
          <w:sz w:val="22"/>
        </w:rPr>
        <w:t xml:space="preserve">Homeownership barrier remains high: </w:t>
      </w:r>
      <w:r>
        <w:rPr>
          <w:rFonts w:ascii="Calibri" w:hAnsi="Calibri"/>
          <w:color w:val="525866"/>
          <w:sz w:val="22"/>
        </w:rPr>
        <w:t xml:space="preserve"> INVH cited mortgage rates in the mid-to-high 6s as a key driver of rental demand stickiness. Turnover remains low due to “sticky” residents (households with two incomes, children, pets).</w:t>
      </w:r>
    </w:p>
    <w:p>
      <w:pPr>
        <w:pStyle w:val="ListBullet"/>
        <w:ind w:left="360" w:hanging="360"/>
      </w:pPr>
      <w:r>
        <w:rPr>
          <w:rFonts w:ascii="Calibri" w:hAnsi="Calibri"/>
          <w:i/>
          <w:color w:val="525866"/>
          <w:sz w:val="22"/>
        </w:rPr>
        <w:t>AVB Read-Through:</w:t>
      </w:r>
      <w:r>
        <w:rPr>
          <w:rFonts w:ascii="Calibri" w:hAnsi="Calibri"/>
          <w:color w:val="525866"/>
          <w:sz w:val="22"/>
        </w:rPr>
        <w:t xml:space="preserve"> Directly positive. AVB’s Q1 call noted only 8% of residents leaving to purchase a home — a historical low. INVH’s data confirms this dynamic is sector-wide and likely to persist through Q2.</w:t>
      </w:r>
    </w:p>
    <w:p>
      <w:pPr>
        <w:pStyle w:val="Heading2"/>
      </w:pPr>
      <w:r>
        <w:rPr>
          <w:rFonts w:ascii="Calibri" w:hAnsi="Calibri"/>
          <w:b/>
          <w:color w:val="3B4259"/>
          <w:sz w:val="28"/>
        </w:rPr>
        <w:t>Equity Residential (EQR) — Merger Announcement, May 21, 2026</w:t>
      </w:r>
    </w:p>
    <w:p>
      <w:r>
        <w:rPr>
          <w:rFonts w:ascii="Calibri" w:hAnsi="Calibri"/>
          <w:b/>
          <w:color w:val="525866"/>
          <w:sz w:val="22"/>
        </w:rPr>
        <w:t xml:space="preserve">Read-Through Type: </w:t>
      </w:r>
      <w:r>
        <w:rPr>
          <w:rFonts w:ascii="Calibri" w:hAnsi="Calibri"/>
          <w:b/>
          <w:color w:val="30A46C"/>
          <w:sz w:val="22"/>
        </w:rPr>
        <w:t>DIRECT</w:t>
      </w:r>
      <w:r>
        <w:rPr>
          <w:rFonts w:ascii="Calibri" w:hAnsi="Calibri"/>
          <w:color w:val="525866"/>
          <w:sz w:val="22"/>
        </w:rPr>
        <w:t xml:space="preserve"> — EQR is AVB’s closest peer (coastal multifamily) and the merger counterparty. EQR’s standalone operating commentary is directly relevant to AVB’s markets.</w:t>
      </w:r>
    </w:p>
    <w:p>
      <w:pPr>
        <w:pStyle w:val="ListBullet"/>
        <w:ind w:left="360" w:hanging="360"/>
      </w:pPr>
      <w:r>
        <w:rPr>
          <w:rFonts w:ascii="Calibri" w:hAnsi="Calibri"/>
          <w:b/>
          <w:color w:val="525866"/>
          <w:sz w:val="22"/>
        </w:rPr>
        <w:t xml:space="preserve">Merger rationale confirms coastal market strength: </w:t>
      </w:r>
      <w:r>
        <w:rPr>
          <w:rFonts w:ascii="Calibri" w:hAnsi="Calibri"/>
          <w:color w:val="525866"/>
          <w:sz w:val="22"/>
        </w:rPr>
        <w:t xml:space="preserve"> The EQR-AVB merger announcement framed the combination as creating “structurally superior cash flow generation” driven by coastal market positioning, low supply, and a combined $4.4B development pipeline. The initial expected annualized dividend of $2.81/share was described as based on “the midpoint of AVB and EQR’s 2026 guidance on a full run-rate basis.”</w:t>
      </w:r>
    </w:p>
    <w:p>
      <w:pPr>
        <w:pStyle w:val="ListBullet"/>
        <w:ind w:left="360" w:hanging="360"/>
      </w:pPr>
      <w:r>
        <w:rPr>
          <w:rFonts w:ascii="Calibri" w:hAnsi="Calibri"/>
          <w:i/>
          <w:color w:val="525866"/>
          <w:sz w:val="22"/>
        </w:rPr>
        <w:t>AVB Read-Through:</w:t>
      </w:r>
      <w:r>
        <w:rPr>
          <w:rFonts w:ascii="Calibri" w:hAnsi="Calibri"/>
          <w:color w:val="525866"/>
          <w:sz w:val="22"/>
        </w:rPr>
        <w:t xml:space="preserve"> The merger’s strategic rationale implicitly validates AVB’s standalone thesis — coastal low-supply markets, development pipeline earnings ramp, and operating model efficiency. The combined company’s projected ~2% FFO accretion suggests both companies’ standalone guidance is achievable.</w:t>
      </w:r>
    </w:p>
    <w:p>
      <w:pPr>
        <w:pStyle w:val="ListBullet"/>
        <w:ind w:left="360" w:hanging="360"/>
      </w:pPr>
      <w:r>
        <w:rPr>
          <w:rFonts w:ascii="Calibri" w:hAnsi="Calibri"/>
          <w:b/>
          <w:color w:val="525866"/>
          <w:sz w:val="22"/>
        </w:rPr>
        <w:t xml:space="preserve">Capital allocation constraints: </w:t>
      </w:r>
      <w:r>
        <w:rPr>
          <w:rFonts w:ascii="Calibri" w:hAnsi="Calibri"/>
          <w:color w:val="525866"/>
          <w:sz w:val="22"/>
        </w:rPr>
        <w:t xml:space="preserve"> The merger agreement caps AVB’s quarterly dividend at $1.78/share and restricts acquisitions, dispositions, and share repurchases without EQR consent. A $2B bridge loan was secured by ERP Operating Partnership from Morgan Stanley and Wells Fargo.</w:t>
      </w:r>
    </w:p>
    <w:p>
      <w:pPr>
        <w:pStyle w:val="ListBullet"/>
        <w:ind w:left="360" w:hanging="360"/>
      </w:pPr>
      <w:r>
        <w:rPr>
          <w:rFonts w:ascii="Calibri" w:hAnsi="Calibri"/>
          <w:i/>
          <w:color w:val="525866"/>
          <w:sz w:val="22"/>
        </w:rPr>
        <w:t>AVB Read-Through:</w:t>
      </w:r>
      <w:r>
        <w:rPr>
          <w:rFonts w:ascii="Calibri" w:hAnsi="Calibri"/>
          <w:color w:val="525866"/>
          <w:sz w:val="22"/>
        </w:rPr>
        <w:t xml:space="preserve"> Near-term negative for capital allocation flexibility. AVB cannot execute additional buybacks (which were accretive at low-6% implied cap rates) or pursue opportunistic acquisitions during the merger pendency. This removes a key earnings growth lever for H2 2026.</w:t>
      </w:r>
    </w:p>
    <w:p>
      <w:pPr>
        <w:pStyle w:val="ListBullet"/>
        <w:ind w:left="360" w:hanging="360"/>
      </w:pPr>
      <w:r>
        <w:rPr>
          <w:rFonts w:ascii="Calibri" w:hAnsi="Calibri"/>
          <w:b/>
          <w:color w:val="525866"/>
          <w:sz w:val="22"/>
        </w:rPr>
        <w:t xml:space="preserve">Property tax reassessment risk: </w:t>
      </w:r>
      <w:r>
        <w:rPr>
          <w:rFonts w:ascii="Calibri" w:hAnsi="Calibri"/>
          <w:color w:val="525866"/>
          <w:sz w:val="22"/>
        </w:rPr>
        <w:t xml:space="preserve"> The merger structure (AVB merging into EQR’s legal entity) triggers transfer taxes and property tax reassessments, primarily in California. Management estimated a $50M impact and described the final determination as “an 18-month to two-year process.”</w:t>
      </w:r>
    </w:p>
    <w:p>
      <w:pPr>
        <w:pStyle w:val="ListBullet"/>
        <w:ind w:left="360" w:hanging="360"/>
      </w:pPr>
      <w:r>
        <w:rPr>
          <w:rFonts w:ascii="Calibri" w:hAnsi="Calibri"/>
          <w:i/>
          <w:color w:val="525866"/>
          <w:sz w:val="22"/>
        </w:rPr>
        <w:t>AVB Read-Through:</w:t>
      </w:r>
      <w:r>
        <w:rPr>
          <w:rFonts w:ascii="Calibri" w:hAnsi="Calibri"/>
          <w:color w:val="525866"/>
          <w:sz w:val="22"/>
        </w:rPr>
        <w:t xml:space="preserve"> Negative for the combined entity’s near-term NOI, but the $50M estimate is already embedded in the synergy math ($175M gross − $50M reassessment = $125M net). For standalone Q2 2026, this is not yet a P&amp;L item.</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Read-Through Type</w:t>
            </w:r>
          </w:p>
        </w:tc>
        <w:tc>
          <w:tcPr>
            <w:tcW w:type="dxa" w:w="1728"/>
            <w:shd w:val="clear" w:color="auto" w:fill="3B4259"/>
          </w:tcPr>
          <w:p>
            <w:r>
              <w:rPr>
                <w:rFonts w:ascii="Calibri" w:hAnsi="Calibri"/>
                <w:b/>
                <w:color w:val="FFFFFF"/>
                <w:sz w:val="22"/>
              </w:rPr>
              <w:t>Key Signal</w:t>
            </w:r>
          </w:p>
        </w:tc>
        <w:tc>
          <w:tcPr>
            <w:tcW w:type="dxa" w:w="1728"/>
            <w:shd w:val="clear" w:color="auto" w:fill="3B4259"/>
          </w:tcPr>
          <w:p>
            <w:r>
              <w:rPr>
                <w:rFonts w:ascii="Calibri" w:hAnsi="Calibri"/>
                <w:b/>
                <w:color w:val="FFFFFF"/>
                <w:sz w:val="22"/>
              </w:rPr>
              <w:t>AVB Implication</w:t>
            </w:r>
          </w:p>
        </w:tc>
      </w:tr>
      <w:tr>
        <w:tc>
          <w:tcPr>
            <w:tcW w:type="dxa" w:w="1728"/>
          </w:tcPr>
          <w:p>
            <w:r>
              <w:rPr>
                <w:rFonts w:ascii="Calibri" w:hAnsi="Calibri"/>
                <w:sz w:val="22"/>
              </w:rPr>
              <w:t>ESS</w:t>
            </w:r>
          </w:p>
        </w:tc>
        <w:tc>
          <w:tcPr>
            <w:tcW w:type="dxa" w:w="1728"/>
          </w:tcPr>
          <w:p>
            <w:r>
              <w:rPr>
                <w:rFonts w:ascii="Calibri" w:hAnsi="Calibri"/>
                <w:sz w:val="22"/>
              </w:rPr>
              <w:t>Jun 3, 2026</w:t>
            </w:r>
          </w:p>
        </w:tc>
        <w:tc>
          <w:tcPr>
            <w:tcW w:type="dxa" w:w="1728"/>
          </w:tcPr>
          <w:p>
            <w:r>
              <w:rPr>
                <w:rFonts w:ascii="Calibri" w:hAnsi="Calibri"/>
                <w:b/>
                <w:color w:val="30A46C"/>
                <w:sz w:val="22"/>
              </w:rPr>
              <w:t>Direct</w:t>
            </w:r>
          </w:p>
        </w:tc>
        <w:tc>
          <w:tcPr>
            <w:tcW w:type="dxa" w:w="1728"/>
          </w:tcPr>
          <w:p>
            <w:r>
              <w:rPr>
                <w:rFonts w:ascii="Calibri" w:hAnsi="Calibri"/>
                <w:sz w:val="22"/>
              </w:rPr>
              <w:t>Blended rates 3.7% in May; supply at 40-yr lows; NorCal AI demand accelerating</w:t>
            </w:r>
          </w:p>
        </w:tc>
        <w:tc>
          <w:tcPr>
            <w:tcW w:type="dxa" w:w="1728"/>
          </w:tcPr>
          <w:p>
            <w:r>
              <w:rPr>
                <w:rFonts w:ascii="Calibri" w:hAnsi="Calibri"/>
                <w:sz w:val="22"/>
              </w:rPr>
              <w:t>Positive — coastal revenue acceleration supports AVB Q2 SS revenue beat</w:t>
            </w:r>
          </w:p>
        </w:tc>
      </w:tr>
      <w:tr>
        <w:tc>
          <w:tcPr>
            <w:tcW w:type="dxa" w:w="1728"/>
          </w:tcPr>
          <w:p>
            <w:r>
              <w:rPr>
                <w:rFonts w:ascii="Calibri" w:hAnsi="Calibri"/>
                <w:sz w:val="22"/>
              </w:rPr>
              <w:t>MAA</w:t>
            </w:r>
          </w:p>
        </w:tc>
        <w:tc>
          <w:tcPr>
            <w:tcW w:type="dxa" w:w="1728"/>
          </w:tcPr>
          <w:p>
            <w:r>
              <w:rPr>
                <w:rFonts w:ascii="Calibri" w:hAnsi="Calibri"/>
                <w:sz w:val="22"/>
              </w:rPr>
              <w:t>Jun 3, 2026</w:t>
            </w:r>
          </w:p>
        </w:tc>
        <w:tc>
          <w:tcPr>
            <w:tcW w:type="dxa" w:w="1728"/>
          </w:tcPr>
          <w:p>
            <w:r>
              <w:rPr>
                <w:rFonts w:ascii="Calibri" w:hAnsi="Calibri"/>
                <w:sz w:val="22"/>
              </w:rPr>
              <w:t>Indirect</w:t>
            </w:r>
          </w:p>
        </w:tc>
        <w:tc>
          <w:tcPr>
            <w:tcW w:type="dxa" w:w="1728"/>
          </w:tcPr>
          <w:p>
            <w:r>
              <w:rPr>
                <w:rFonts w:ascii="Calibri" w:hAnsi="Calibri"/>
                <w:sz w:val="22"/>
              </w:rPr>
              <w:t>Blended rates at 2-yr high; supply -40% YoY; resident health strong; job relocations picking up</w:t>
            </w:r>
          </w:p>
        </w:tc>
        <w:tc>
          <w:tcPr>
            <w:tcW w:type="dxa" w:w="1728"/>
          </w:tcPr>
          <w:p>
            <w:r>
              <w:rPr>
                <w:rFonts w:ascii="Calibri" w:hAnsi="Calibri"/>
                <w:sz w:val="22"/>
              </w:rPr>
              <w:t>Positive — confirms sector-wide leasing acceleration and low bad debt risk</w:t>
            </w:r>
          </w:p>
        </w:tc>
      </w:tr>
      <w:tr>
        <w:tc>
          <w:tcPr>
            <w:tcW w:type="dxa" w:w="1728"/>
          </w:tcPr>
          <w:p>
            <w:r>
              <w:rPr>
                <w:rFonts w:ascii="Calibri" w:hAnsi="Calibri"/>
                <w:sz w:val="22"/>
              </w:rPr>
              <w:t>INVH</w:t>
            </w:r>
          </w:p>
        </w:tc>
        <w:tc>
          <w:tcPr>
            <w:tcW w:type="dxa" w:w="1728"/>
          </w:tcPr>
          <w:p>
            <w:r>
              <w:rPr>
                <w:rFonts w:ascii="Calibri" w:hAnsi="Calibri"/>
                <w:sz w:val="22"/>
              </w:rPr>
              <w:t>Jun 2, 2026</w:t>
            </w:r>
          </w:p>
        </w:tc>
        <w:tc>
          <w:tcPr>
            <w:tcW w:type="dxa" w:w="1728"/>
          </w:tcPr>
          <w:p>
            <w:r>
              <w:rPr>
                <w:rFonts w:ascii="Calibri" w:hAnsi="Calibri"/>
                <w:sz w:val="22"/>
              </w:rPr>
              <w:t>Indirect</w:t>
            </w:r>
          </w:p>
        </w:tc>
        <w:tc>
          <w:tcPr>
            <w:tcW w:type="dxa" w:w="1728"/>
          </w:tcPr>
          <w:p>
            <w:r>
              <w:rPr>
                <w:rFonts w:ascii="Calibri" w:hAnsi="Calibri"/>
                <w:sz w:val="22"/>
              </w:rPr>
              <w:t>Occupancy 97.2%; blended rates 2.5% in May; SFR supply declining; homeownership barrier high</w:t>
            </w:r>
          </w:p>
        </w:tc>
        <w:tc>
          <w:tcPr>
            <w:tcW w:type="dxa" w:w="1728"/>
          </w:tcPr>
          <w:p>
            <w:r>
              <w:rPr>
                <w:rFonts w:ascii="Calibri" w:hAnsi="Calibri"/>
                <w:sz w:val="22"/>
              </w:rPr>
              <w:t>Positive — low move-out-to-purchase rate likely to persist; rental demand sticky</w:t>
            </w:r>
          </w:p>
        </w:tc>
      </w:tr>
      <w:tr>
        <w:tc>
          <w:tcPr>
            <w:tcW w:type="dxa" w:w="1728"/>
          </w:tcPr>
          <w:p>
            <w:r>
              <w:rPr>
                <w:rFonts w:ascii="Calibri" w:hAnsi="Calibri"/>
                <w:sz w:val="22"/>
              </w:rPr>
              <w:t>EQR</w:t>
            </w:r>
          </w:p>
        </w:tc>
        <w:tc>
          <w:tcPr>
            <w:tcW w:type="dxa" w:w="1728"/>
          </w:tcPr>
          <w:p>
            <w:r>
              <w:rPr>
                <w:rFonts w:ascii="Calibri" w:hAnsi="Calibri"/>
                <w:sz w:val="22"/>
              </w:rPr>
              <w:t>May 21, 2026</w:t>
            </w:r>
          </w:p>
        </w:tc>
        <w:tc>
          <w:tcPr>
            <w:tcW w:type="dxa" w:w="1728"/>
          </w:tcPr>
          <w:p>
            <w:r>
              <w:rPr>
                <w:rFonts w:ascii="Calibri" w:hAnsi="Calibri"/>
                <w:b/>
                <w:color w:val="30A46C"/>
                <w:sz w:val="22"/>
              </w:rPr>
              <w:t>Direct</w:t>
            </w:r>
          </w:p>
        </w:tc>
        <w:tc>
          <w:tcPr>
            <w:tcW w:type="dxa" w:w="1728"/>
          </w:tcPr>
          <w:p>
            <w:r>
              <w:rPr>
                <w:rFonts w:ascii="Calibri" w:hAnsi="Calibri"/>
                <w:sz w:val="22"/>
              </w:rPr>
              <w:t>Merger validates coastal thesis; $50M CA property tax risk; dividend capped at $1.78/qtr</w:t>
            </w:r>
          </w:p>
        </w:tc>
        <w:tc>
          <w:tcPr>
            <w:tcW w:type="dxa" w:w="1728"/>
          </w:tcPr>
          <w:p>
            <w:r>
              <w:rPr>
                <w:rFonts w:ascii="Calibri" w:hAnsi="Calibri"/>
                <w:sz w:val="22"/>
              </w:rPr>
              <w:t>Mixed — strategic validation positive; capital allocation constraints negative near-term</w:t>
            </w:r>
          </w:p>
        </w:tc>
      </w:tr>
    </w:tbl>
    <w:p>
      <w:r>
        <w:rPr>
          <w:rFonts w:ascii="Calibri" w:hAnsi="Calibri"/>
          <w:i/>
          <w:color w:val="525866"/>
          <w:sz w:val="22"/>
        </w:rPr>
        <w:t>Sources: ESS Nareit REITweek Conference Transcript (June 3, 2026); MAA Nareit REITweek Conference Transcript (June 3, 2026); INVH Nareit REITweek Conference Transcript (June 2, 2026); EQR 8-K and Merger Conference Call Transcript (May 21, 2026).</w:t>
      </w:r>
    </w:p>
    <w:p>
      <w:r>
        <w:br w:type="page"/>
      </w:r>
    </w:p>
    <w:p>
      <w:pPr>
        <w:pStyle w:val="Heading1"/>
        <w:pBdr>
          <w:bottom w:val="single" w:sz="4" w:space="1" w:color="FB9120"/>
        </w:pBdr>
      </w:pPr>
      <w:r>
        <w:rPr>
          <w:rFonts w:ascii="Calibri" w:hAnsi="Calibri"/>
          <w:b/>
          <w:color w:val="3B4259"/>
          <w:sz w:val="40"/>
        </w:rPr>
        <w:t>Appendix: AVB-EQR Merger Timeline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Detail</w:t>
            </w:r>
          </w:p>
        </w:tc>
      </w:tr>
      <w:tr>
        <w:tc>
          <w:tcPr>
            <w:tcW w:type="dxa" w:w="2880"/>
          </w:tcPr>
          <w:p>
            <w:r>
              <w:rPr>
                <w:rFonts w:ascii="Calibri" w:hAnsi="Calibri"/>
                <w:sz w:val="22"/>
              </w:rPr>
              <w:t>Merger Agreement Signed</w:t>
            </w:r>
          </w:p>
        </w:tc>
        <w:tc>
          <w:tcPr>
            <w:tcW w:type="dxa" w:w="2880"/>
          </w:tcPr>
          <w:p>
            <w:r>
              <w:rPr>
                <w:rFonts w:ascii="Calibri" w:hAnsi="Calibri"/>
                <w:sz w:val="22"/>
              </w:rPr>
              <w:t>May 20, 2026</w:t>
            </w:r>
          </w:p>
        </w:tc>
        <w:tc>
          <w:tcPr>
            <w:tcW w:type="dxa" w:w="2880"/>
          </w:tcPr>
          <w:p>
            <w:r>
              <w:rPr>
                <w:rFonts w:ascii="Calibri" w:hAnsi="Calibri"/>
                <w:sz w:val="22"/>
              </w:rPr>
              <w:t>Definitive agreement executed; boards of both companies unanimously approved</w:t>
            </w:r>
          </w:p>
        </w:tc>
      </w:tr>
      <w:tr>
        <w:tc>
          <w:tcPr>
            <w:tcW w:type="dxa" w:w="2880"/>
          </w:tcPr>
          <w:p>
            <w:r>
              <w:rPr>
                <w:rFonts w:ascii="Calibri" w:hAnsi="Calibri"/>
                <w:sz w:val="22"/>
              </w:rPr>
              <w:t>Public Disclosure / Announcement</w:t>
            </w:r>
          </w:p>
        </w:tc>
        <w:tc>
          <w:tcPr>
            <w:tcW w:type="dxa" w:w="2880"/>
          </w:tcPr>
          <w:p>
            <w:r>
              <w:rPr>
                <w:rFonts w:ascii="Calibri" w:hAnsi="Calibri"/>
                <w:sz w:val="22"/>
              </w:rPr>
              <w:t>May 21, 2026</w:t>
            </w:r>
          </w:p>
        </w:tc>
        <w:tc>
          <w:tcPr>
            <w:tcW w:type="dxa" w:w="2880"/>
          </w:tcPr>
          <w:p>
            <w:r>
              <w:rPr>
                <w:rFonts w:ascii="Calibri" w:hAnsi="Calibri"/>
                <w:sz w:val="22"/>
              </w:rPr>
              <w:t>Joint press release and investor conference call; exchange ratio 2.793 EQR shares per AVB share</w:t>
            </w:r>
          </w:p>
        </w:tc>
      </w:tr>
      <w:tr>
        <w:tc>
          <w:tcPr>
            <w:tcW w:type="dxa" w:w="2880"/>
          </w:tcPr>
          <w:p>
            <w:r>
              <w:rPr>
                <w:rFonts w:ascii="Calibri" w:hAnsi="Calibri"/>
                <w:sz w:val="22"/>
              </w:rPr>
              <w:t>Proxy Filing Expected</w:t>
            </w:r>
          </w:p>
        </w:tc>
        <w:tc>
          <w:tcPr>
            <w:tcW w:type="dxa" w:w="2880"/>
          </w:tcPr>
          <w:p>
            <w:r>
              <w:rPr>
                <w:rFonts w:ascii="Calibri" w:hAnsi="Calibri"/>
                <w:sz w:val="22"/>
              </w:rPr>
              <w:t>~30–45 days post-announcement (June–July 2026)</w:t>
            </w:r>
          </w:p>
        </w:tc>
        <w:tc>
          <w:tcPr>
            <w:tcW w:type="dxa" w:w="2880"/>
          </w:tcPr>
          <w:p>
            <w:r>
              <w:rPr>
                <w:rFonts w:ascii="Calibri" w:hAnsi="Calibri"/>
                <w:sz w:val="22"/>
              </w:rPr>
              <w:t>Normal SEC review process; shareholder votes required from both companies</w:t>
            </w:r>
          </w:p>
        </w:tc>
      </w:tr>
      <w:tr>
        <w:tc>
          <w:tcPr>
            <w:tcW w:type="dxa" w:w="2880"/>
          </w:tcPr>
          <w:p>
            <w:r>
              <w:rPr>
                <w:rFonts w:ascii="Calibri" w:hAnsi="Calibri"/>
                <w:sz w:val="22"/>
              </w:rPr>
              <w:t>Expected Close</w:t>
            </w:r>
          </w:p>
        </w:tc>
        <w:tc>
          <w:tcPr>
            <w:tcW w:type="dxa" w:w="2880"/>
          </w:tcPr>
          <w:p>
            <w:r>
              <w:rPr>
                <w:rFonts w:ascii="Calibri" w:hAnsi="Calibri"/>
                <w:sz w:val="22"/>
              </w:rPr>
              <w:t>H2 2026</w:t>
            </w:r>
          </w:p>
        </w:tc>
        <w:tc>
          <w:tcPr>
            <w:tcW w:type="dxa" w:w="2880"/>
          </w:tcPr>
          <w:p>
            <w:r>
              <w:rPr>
                <w:rFonts w:ascii="Calibri" w:hAnsi="Calibri"/>
                <w:sz w:val="22"/>
              </w:rPr>
              <w:t>Subject to shareholder approval; no regulatory approval required (no antitrust filing needed)</w:t>
            </w:r>
          </w:p>
        </w:tc>
      </w:tr>
      <w:tr>
        <w:tc>
          <w:tcPr>
            <w:tcW w:type="dxa" w:w="2880"/>
          </w:tcPr>
          <w:p>
            <w:r>
              <w:rPr>
                <w:rFonts w:ascii="Calibri" w:hAnsi="Calibri"/>
                <w:sz w:val="22"/>
              </w:rPr>
              <w:t>Outside Date (Termination Right)</w:t>
            </w:r>
          </w:p>
        </w:tc>
        <w:tc>
          <w:tcPr>
            <w:tcW w:type="dxa" w:w="2880"/>
          </w:tcPr>
          <w:p>
            <w:r>
              <w:rPr>
                <w:rFonts w:ascii="Calibri" w:hAnsi="Calibri"/>
                <w:sz w:val="22"/>
              </w:rPr>
              <w:t>May 20, 2027</w:t>
            </w:r>
          </w:p>
        </w:tc>
        <w:tc>
          <w:tcPr>
            <w:tcW w:type="dxa" w:w="2880"/>
          </w:tcPr>
          <w:p>
            <w:r>
              <w:rPr>
                <w:rFonts w:ascii="Calibri" w:hAnsi="Calibri"/>
                <w:sz w:val="22"/>
              </w:rPr>
              <w:t>Either party may terminate if merger not completed by this date</w:t>
            </w:r>
          </w:p>
        </w:tc>
      </w:tr>
      <w:tr>
        <w:tc>
          <w:tcPr>
            <w:tcW w:type="dxa" w:w="2880"/>
          </w:tcPr>
          <w:p>
            <w:r>
              <w:rPr>
                <w:rFonts w:ascii="Calibri" w:hAnsi="Calibri"/>
                <w:sz w:val="22"/>
              </w:rPr>
              <w:t>Termination Fee (AVB)</w:t>
            </w:r>
          </w:p>
        </w:tc>
        <w:tc>
          <w:tcPr>
            <w:tcW w:type="dxa" w:w="2880"/>
          </w:tcPr>
          <w:p>
            <w:r>
              <w:rPr>
                <w:rFonts w:ascii="Calibri" w:hAnsi="Calibri"/>
                <w:sz w:val="22"/>
              </w:rPr>
              <w:t>~$1.07B (lesser of this or REIT limit)</w:t>
            </w:r>
          </w:p>
        </w:tc>
        <w:tc>
          <w:tcPr>
            <w:tcW w:type="dxa" w:w="2880"/>
          </w:tcPr>
          <w:p>
            <w:r>
              <w:rPr>
                <w:rFonts w:ascii="Calibri" w:hAnsi="Calibri"/>
                <w:sz w:val="22"/>
              </w:rPr>
              <w:t>Payable by AVB to EQR if AVB terminates under certain circumstances</w:t>
            </w:r>
          </w:p>
        </w:tc>
      </w:tr>
      <w:tr>
        <w:tc>
          <w:tcPr>
            <w:tcW w:type="dxa" w:w="2880"/>
          </w:tcPr>
          <w:p>
            <w:r>
              <w:rPr>
                <w:rFonts w:ascii="Calibri" w:hAnsi="Calibri"/>
                <w:sz w:val="22"/>
              </w:rPr>
              <w:t>Termination Fee (EQR)</w:t>
            </w:r>
          </w:p>
        </w:tc>
        <w:tc>
          <w:tcPr>
            <w:tcW w:type="dxa" w:w="2880"/>
          </w:tcPr>
          <w:p>
            <w:r>
              <w:rPr>
                <w:rFonts w:ascii="Calibri" w:hAnsi="Calibri"/>
                <w:sz w:val="22"/>
              </w:rPr>
              <w:t>~$1.005B (lesser of this or REIT limit)</w:t>
            </w:r>
          </w:p>
        </w:tc>
        <w:tc>
          <w:tcPr>
            <w:tcW w:type="dxa" w:w="2880"/>
          </w:tcPr>
          <w:p>
            <w:r>
              <w:rPr>
                <w:rFonts w:ascii="Calibri" w:hAnsi="Calibri"/>
                <w:sz w:val="22"/>
              </w:rPr>
              <w:t>Payable by EQR to AVB if EQR terminates under certain circumstances</w:t>
            </w:r>
          </w:p>
        </w:tc>
      </w:tr>
      <w:tr>
        <w:tc>
          <w:tcPr>
            <w:tcW w:type="dxa" w:w="2880"/>
          </w:tcPr>
          <w:p>
            <w:r>
              <w:rPr>
                <w:rFonts w:ascii="Calibri" w:hAnsi="Calibri"/>
                <w:sz w:val="22"/>
              </w:rPr>
              <w:t>Combined Company Leadership</w:t>
            </w:r>
          </w:p>
        </w:tc>
        <w:tc>
          <w:tcPr>
            <w:tcW w:type="dxa" w:w="2880"/>
          </w:tcPr>
          <w:p>
            <w:r>
              <w:rPr>
                <w:rFonts w:ascii="Calibri" w:hAnsi="Calibri"/>
                <w:sz w:val="22"/>
              </w:rPr>
              <w:t>At close</w:t>
            </w:r>
          </w:p>
        </w:tc>
        <w:tc>
          <w:tcPr>
            <w:tcW w:type="dxa" w:w="2880"/>
          </w:tcPr>
          <w:p>
            <w:r>
              <w:rPr>
                <w:rFonts w:ascii="Calibri" w:hAnsi="Calibri"/>
                <w:sz w:val="22"/>
              </w:rPr>
              <w:t>Benjamin Schall (AVB CEO) → CEO of NewCo; Steve Sterrett (EQR Lead Trustee) → Chairman; Mark Parrell (EQR CEO) retires</w:t>
            </w:r>
          </w:p>
        </w:tc>
      </w:tr>
      <w:tr>
        <w:tc>
          <w:tcPr>
            <w:tcW w:type="dxa" w:w="2880"/>
          </w:tcPr>
          <w:p>
            <w:r>
              <w:rPr>
                <w:rFonts w:ascii="Calibri" w:hAnsi="Calibri"/>
                <w:sz w:val="22"/>
              </w:rPr>
              <w:t>Synergies</w:t>
            </w:r>
          </w:p>
        </w:tc>
        <w:tc>
          <w:tcPr>
            <w:tcW w:type="dxa" w:w="2880"/>
          </w:tcPr>
          <w:p>
            <w:r>
              <w:rPr>
                <w:rFonts w:ascii="Calibri" w:hAnsi="Calibri"/>
                <w:sz w:val="22"/>
              </w:rPr>
              <w:t>18 months post-close</w:t>
            </w:r>
          </w:p>
        </w:tc>
        <w:tc>
          <w:tcPr>
            <w:tcW w:type="dxa" w:w="2880"/>
          </w:tcPr>
          <w:p>
            <w:r>
              <w:rPr>
                <w:rFonts w:ascii="Calibri" w:hAnsi="Calibri"/>
                <w:sz w:val="22"/>
              </w:rPr>
              <w:t>$175M gross / $125M net run-rate; &gt;85% in place by end of 2027; 80% expense-driven</w:t>
            </w:r>
          </w:p>
        </w:tc>
      </w:tr>
      <w:tr>
        <w:tc>
          <w:tcPr>
            <w:tcW w:type="dxa" w:w="2880"/>
          </w:tcPr>
          <w:p>
            <w:r>
              <w:rPr>
                <w:rFonts w:ascii="Calibri" w:hAnsi="Calibri"/>
                <w:sz w:val="22"/>
              </w:rPr>
              <w:t>Pro Forma Scale</w:t>
            </w:r>
          </w:p>
        </w:tc>
        <w:tc>
          <w:tcPr>
            <w:tcW w:type="dxa" w:w="2880"/>
          </w:tcPr>
          <w:p>
            <w:r>
              <w:rPr>
                <w:rFonts w:ascii="Calibri" w:hAnsi="Calibri"/>
                <w:sz w:val="22"/>
              </w:rPr>
              <w:t>At close</w:t>
            </w:r>
          </w:p>
        </w:tc>
        <w:tc>
          <w:tcPr>
            <w:tcW w:type="dxa" w:w="2880"/>
          </w:tcPr>
          <w:p>
            <w:r>
              <w:rPr>
                <w:rFonts w:ascii="Calibri" w:hAnsi="Calibri"/>
                <w:sz w:val="22"/>
              </w:rPr>
              <w:t>~180,000 apartment homes; ~$69B enterprise value; $4.4B under construction; $4.2B development rights pipeline</w:t>
            </w:r>
          </w:p>
        </w:tc>
      </w:tr>
    </w:tbl>
    <w:p>
      <w:r>
        <w:rPr>
          <w:rFonts w:ascii="Calibri" w:hAnsi="Calibri"/>
          <w:i/>
          <w:color w:val="525866"/>
          <w:sz w:val="22"/>
        </w:rPr>
        <w:t>Sources: AVB-EQR Merger Press Release (May 21, 2026); AVB 8-K (May 20, 2026); AVB-EQR Merger Conference Call Transcript (May 21, 2026).</w:t>
      </w:r>
    </w:p>
    <w:p>
      <w:r>
        <w:rPr>
          <w:rFonts w:ascii="Calibri" w:hAnsi="Calibri"/>
          <w:b/>
          <w:i/>
          <w:color w:val="525866"/>
          <w:sz w:val="22"/>
        </w:rPr>
        <w:t>— End of Report —</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