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xp-earnings-predictions--2026-07-24"/>
    <w:p>
      <w:pPr>
        <w:pStyle w:val="Heading1"/>
      </w:pPr>
      <w:r>
        <w:t xml:space="preserve">AXP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~$4.52 vs. cons $4.40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(net of interest expense)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~$19.85B vs. cons $19.65B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Card Member Spending / Billed Business Growth (FX-adjusted)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~8% vs. cons ~8.5%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17.30</m:t>
              </m:r>
              <m:r>
                <m:rPr>
                  <m:sty m:val="p"/>
                </m:rPr>
                <m:t>−</m:t>
              </m:r>
            </m:oMath>
            <w:r>
              <w:t xml:space="preserve">17.90 (reaffirm, midpoint ~$17.60) vs. cons $17.65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~9%-10% (reaffirm) vs. cons ~9.5%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Card Fee Revenue Growth Trajectory (2H26 acceleration commentary)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~high-teens (18%) vs. cons ~16% (2H2026 exit rate)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Q1's beat was funded by reinvestment (marketing/tech step-up) rather than banked, and management is expected to again reaffirm rather than raise FY26 guidance even after a Q2 beat — signaling the Platinum-refresh lap (Sept), Amazon/Lowe's co-brand roll-off, and SME held-for-sale portfolio exits will crimp 2H billings growth. As sell-side models roll forward implied 2H/FY27 deceleration math despite the in-line-to-modest beat, initial day-1 enthusiasm likely fades over the following days rather than extending, though credit quality strength and buyback tailwinds should prevent an outright reversal, hence a small net positive but muted 5-day residual versus day 1.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2026-07-24T00:07:26Z</dcterms:created>
  <dcterms:modified xsi:type="dcterms:W3CDTF">2026-07-24T00:07:26Z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