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xp-earnings-predictions--2026-07-24"/>
    <w:p>
      <w:pPr>
        <w:pStyle w:val="Heading1"/>
      </w:pPr>
      <w:r>
        <w:t xml:space="preserve">AXP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~$4.48 vs. cons $4.41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Revenue, net of interest expense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~$19.82B vs. cons $19.70B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FX-adjusted billed-business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~9.0% vs. cons 9.0%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~9%-10% vs. cons 9.8%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17.30</m:t>
              </m:r>
              <m:r>
                <m:rPr>
                  <m:sty m:val="p"/>
                </m:rPr>
                <m:t>−</m:t>
              </m:r>
            </m:oMath>
            <w:r>
              <w:t xml:space="preserve">17.90 vs. cons $17.65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Variable customer engagement cost-to-revenue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~44.0% vs. cons 44.0%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of ~$4.48 vs.</w:t>
            </w:r>
            <w:r>
              <w:t xml:space="preserve"> </w:t>
            </w:r>
            <m:oMath>
              <m:r>
                <m:t>4.41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c</m:t>
              </m:r>
              <m:r>
                <m:t>e</m:t>
              </m:r>
              <m:r>
                <m:t>n</m:t>
              </m:r>
              <m:r>
                <m:t>t</m:t>
              </m:r>
              <m:r>
                <m:t>e</m:t>
              </m:r>
              <m:r>
                <m:t>r</m:t>
              </m:r>
              <m:r>
                <m:t>e</m:t>
              </m:r>
              <m:r>
                <m:t>d</m:t>
              </m:r>
              <m:r>
                <m:t>a</m:t>
              </m:r>
              <m:r>
                <m:t>t</m:t>
              </m:r>
              <m:r>
                <m:t> </m:t>
              </m:r>
            </m:oMath>
            <w:r>
              <w:t xml:space="preserve">17.60 vs. consensus $17.65. Holding the annual range after first-half upside implies lower second-half earnings expectations as incremental marketing, technology and benefit costs absorb operating strength, driving negative estimate revisions and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2026-07-24T00:08:22Z</dcterms:created>
  <dcterms:modified xsi:type="dcterms:W3CDTF">2026-07-24T00:08:22Z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