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92a6e07127a53953237a9d844462851a5a5991"/>
    <w:p>
      <w:pPr>
        <w:pStyle w:val="Heading1"/>
      </w:pPr>
      <w:r>
        <w:t xml:space="preserve">American Express (AXP) — 2026 Q2 Earnings Preview</w:t>
      </w:r>
    </w:p>
    <w:p>
      <w:pPr>
        <w:pStyle w:val="FirstParagraph"/>
      </w:pPr>
      <w:r>
        <w:rPr>
          <w:b/>
          <w:bCs/>
        </w:rPr>
        <w:t xml:space="preserve">Reporting:</w:t>
      </w:r>
      <w:r>
        <w:t xml:space="preserve"> </w:t>
      </w:r>
      <w:r>
        <w:t xml:space="preserve">Friday, July 24, 2026, before the U.S. market opens</w:t>
      </w:r>
      <w:r>
        <w:br/>
      </w:r>
      <w:r>
        <w:rPr>
          <w:b/>
          <w:bCs/>
        </w:rPr>
        <w:t xml:space="preserve">Conference call:</w:t>
      </w:r>
      <w:r>
        <w:t xml:space="preserve"> </w:t>
      </w:r>
      <w:r>
        <w:t xml:space="preserve">8:30 a.m. ET</w:t>
      </w:r>
      <w:r>
        <w:br/>
      </w:r>
      <w:r>
        <w:rPr>
          <w:b/>
          <w:bCs/>
        </w:rPr>
        <w:t xml:space="preserve">AXP closing price, July 23:</w:t>
      </w:r>
      <w:r>
        <w:t xml:space="preserve"> </w:t>
      </w:r>
      <w:r>
        <w:t xml:space="preserve">$340.88</w:t>
      </w:r>
    </w:p>
    <w:bookmarkStart w:id="9" w:name="executive-view"/>
    <w:p>
      <w:pPr>
        <w:pStyle w:val="Heading2"/>
      </w:pPr>
      <w:r>
        <w:t xml:space="preserve">Executive view</w:t>
      </w:r>
    </w:p>
    <w:p>
      <w:pPr>
        <w:pStyle w:val="FirstParagraph"/>
      </w:pPr>
      <w:r>
        <w:t xml:space="preserve">American Express enters the quarter with strong operating momentum: premium-card spending accelerated in Q1, annual-fee revenue is benefiting from the Platinum refresh, international growth remains robust, and credit quality is still unusually strong.</w:t>
      </w:r>
    </w:p>
    <w:p>
      <w:pPr>
        <w:pStyle w:val="BodyText"/>
      </w:pPr>
      <w:r>
        <w:t xml:space="preserve">The principal question is no longer whether the franchise is healthy. It is whether that strength is sufficient to support a higher full-year outlook after management deliberately redirected Q1 upside into marketing and technology.</w:t>
      </w:r>
    </w:p>
    <w:p>
      <w:pPr>
        <w:pStyle w:val="BodyText"/>
      </w:pPr>
      <w:r>
        <w:t xml:space="preserve">A constructive report would combine:</w:t>
      </w:r>
    </w:p>
    <w:p>
      <w:pPr>
        <w:pStyle w:val="Compact"/>
        <w:numPr>
          <w:ilvl w:val="0"/>
          <w:numId w:val="1001"/>
        </w:numPr>
      </w:pPr>
      <w:r>
        <w:t xml:space="preserve">High-single-digit or better underlying billed-business growth</w:t>
      </w:r>
    </w:p>
    <w:p>
      <w:pPr>
        <w:pStyle w:val="Compact"/>
        <w:numPr>
          <w:ilvl w:val="0"/>
          <w:numId w:val="1001"/>
        </w:numPr>
      </w:pPr>
      <w:r>
        <w:t xml:space="preserve">Continued double-digit revenue growth</w:t>
      </w:r>
    </w:p>
    <w:p>
      <w:pPr>
        <w:pStyle w:val="Compact"/>
        <w:numPr>
          <w:ilvl w:val="0"/>
          <w:numId w:val="1001"/>
        </w:numPr>
      </w:pPr>
      <w:r>
        <w:t xml:space="preserve">Stable Platinum retention following the fee increase</w:t>
      </w:r>
    </w:p>
    <w:p>
      <w:pPr>
        <w:pStyle w:val="Compact"/>
        <w:numPr>
          <w:ilvl w:val="0"/>
          <w:numId w:val="1001"/>
        </w:numPr>
      </w:pPr>
      <w:r>
        <w:t xml:space="preserve">Credit metrics broadly consistent with the favorable monthly disclosures</w:t>
      </w:r>
    </w:p>
    <w:p>
      <w:pPr>
        <w:pStyle w:val="Compact"/>
        <w:numPr>
          <w:ilvl w:val="0"/>
          <w:numId w:val="1001"/>
        </w:numPr>
      </w:pPr>
      <w:r>
        <w:t xml:space="preserve">A guidance increase—or sufficiently bullish commentary to make the upper half of guidance appear conservative</w:t>
      </w:r>
    </w:p>
    <w:p>
      <w:pPr>
        <w:pStyle w:val="FirstParagraph"/>
      </w:pPr>
      <w:r>
        <w:t xml:space="preserve">The main risk is that strong headline revenue is absorbed by higher benefit, marketing, technology and regulatory costs, leaving little incremental EPS upside.</w:t>
      </w:r>
    </w:p>
    <w:p>
      <w:r>
        <w:pict>
          <v:rect style="width:0;height:1.5pt" o:hralign="center" o:hrstd="t" o:hr="t"/>
        </w:pict>
      </w:r>
    </w:p>
    <w:bookmarkEnd w:id="9"/>
    <w:bookmarkStart w:id="10" w:name="street-expectations"/>
    <w:p>
      <w:pPr>
        <w:pStyle w:val="Heading2"/>
      </w:pPr>
      <w:r>
        <w:t xml:space="preserve">Street expectations</w:t>
      </w:r>
    </w:p>
    <w:p>
      <w:pPr>
        <w:pStyle w:val="FirstParagraph"/>
      </w:pPr>
      <w:r>
        <w:t xml:space="preserve">Approximate consensus going into the report: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estimate</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 net of interest expense</w:t>
            </w:r>
          </w:p>
        </w:tc>
        <w:tc>
          <w:tcPr/>
          <w:p>
            <w:pPr>
              <w:pStyle w:val="Compact"/>
              <w:jc w:val="right"/>
            </w:pPr>
            <w:r>
              <w:rPr>
                <w:b/>
                <w:bCs/>
              </w:rPr>
              <w:t xml:space="preserve">$19.7 billion</w:t>
            </w:r>
          </w:p>
        </w:tc>
        <w:tc>
          <w:tcPr/>
          <w:p>
            <w:pPr>
              <w:pStyle w:val="Compact"/>
              <w:jc w:val="right"/>
            </w:pPr>
            <w:r>
              <w:t xml:space="preserve">$17.86 billion</w:t>
            </w:r>
          </w:p>
        </w:tc>
        <w:tc>
          <w:tcPr/>
          <w:p>
            <w:pPr>
              <w:pStyle w:val="Compact"/>
              <w:jc w:val="right"/>
            </w:pPr>
            <w:r>
              <w:rPr>
                <w:b/>
                <w:bCs/>
              </w:rPr>
              <w:t xml:space="preserve">10.3%</w:t>
            </w:r>
          </w:p>
        </w:tc>
      </w:tr>
      <w:tr>
        <w:tc>
          <w:tcPr/>
          <w:p>
            <w:pPr>
              <w:pStyle w:val="Compact"/>
            </w:pPr>
            <w:r>
              <w:t xml:space="preserve">Diluted EPS</w:t>
            </w:r>
          </w:p>
        </w:tc>
        <w:tc>
          <w:tcPr/>
          <w:p>
            <w:pPr>
              <w:pStyle w:val="Compact"/>
              <w:jc w:val="right"/>
            </w:pPr>
            <w:r>
              <w:rPr>
                <w:b/>
                <w:bCs/>
              </w:rPr>
              <w:t xml:space="preserve">$4.41</w:t>
            </w:r>
          </w:p>
        </w:tc>
        <w:tc>
          <w:tcPr/>
          <w:p>
            <w:pPr>
              <w:pStyle w:val="Compact"/>
              <w:jc w:val="right"/>
            </w:pPr>
            <w:r>
              <w:t xml:space="preserve">$4.08</w:t>
            </w:r>
          </w:p>
        </w:tc>
        <w:tc>
          <w:tcPr/>
          <w:p>
            <w:pPr>
              <w:pStyle w:val="Compact"/>
              <w:jc w:val="right"/>
            </w:pPr>
            <w:r>
              <w:rPr>
                <w:b/>
                <w:bCs/>
              </w:rPr>
              <w:t xml:space="preserve">8.1%</w:t>
            </w:r>
          </w:p>
        </w:tc>
      </w:tr>
    </w:tbl>
    <w:p>
      <w:pPr>
        <w:pStyle w:val="BodyText"/>
      </w:pPr>
      <w:r>
        <w:t xml:space="preserve">Current full-year guidance is:</w:t>
      </w:r>
    </w:p>
    <w:p>
      <w:pPr>
        <w:pStyle w:val="Compact"/>
        <w:numPr>
          <w:ilvl w:val="0"/>
          <w:numId w:val="1002"/>
        </w:numPr>
      </w:pPr>
      <w:r>
        <w:rPr>
          <w:b/>
          <w:bCs/>
        </w:rPr>
        <w:t xml:space="preserve">Revenue growth:</w:t>
      </w:r>
      <w:r>
        <w:t xml:space="preserve"> </w:t>
      </w:r>
      <w:r>
        <w:t xml:space="preserve">9%–10%</w:t>
      </w:r>
    </w:p>
    <w:p>
      <w:pPr>
        <w:pStyle w:val="Compact"/>
        <w:numPr>
          <w:ilvl w:val="0"/>
          <w:numId w:val="1002"/>
        </w:numPr>
      </w:pPr>
      <w:r>
        <w:rPr>
          <w:b/>
          <w:bCs/>
        </w:rPr>
        <w:t xml:space="preserve">EPS:</w:t>
      </w:r>
      <w:r>
        <w:t xml:space="preserve"> </w:t>
      </w:r>
      <m:oMath>
        <m:r>
          <m:t>17.30</m:t>
        </m:r>
        <m:r>
          <m:rPr>
            <m:sty m:val="p"/>
          </m:rPr>
          <m:t>–</m:t>
        </m:r>
      </m:oMath>
      <w:r>
        <w:t xml:space="preserve">17.90</w:t>
      </w:r>
    </w:p>
    <w:p>
      <w:pPr>
        <w:pStyle w:val="FirstParagraph"/>
      </w:pPr>
      <w:r>
        <w:t xml:space="preserve">At the $17.60 midpoint, AXP trades at approximately</w:t>
      </w:r>
      <w:r>
        <w:t xml:space="preserve"> </w:t>
      </w:r>
      <w:r>
        <w:rPr>
          <w:b/>
          <w:bCs/>
        </w:rPr>
        <w:t xml:space="preserve">19.4x guided 2026 EPS</w:t>
      </w:r>
      <w:r>
        <w:t xml:space="preserve">. The shares are down about 8% year to date, but have risen roughly 7% since the Q1 report. Expectations are positive, though not excessively stretched.</w:t>
      </w:r>
    </w:p>
    <w:p>
      <w:pPr>
        <w:pStyle w:val="BodyText"/>
      </w:pPr>
      <w:r>
        <w:t xml:space="preserve">If AXP earns the Q2 consensus, first-half EPS would be approximately</w:t>
      </w:r>
      <w:r>
        <w:t xml:space="preserve"> </w:t>
      </w:r>
      <w:r>
        <w:rPr>
          <w:b/>
          <w:bCs/>
        </w:rPr>
        <w:t xml:space="preserve">$8.69</w:t>
      </w:r>
      <w:r>
        <w:t xml:space="preserve">. The guidance midpoint would then require $8.91 in the second half, or about $4.46 per quarter. That is achievable, but it also means a modest Q2 beat alone would not force management to raise guidance.</w:t>
      </w:r>
    </w:p>
    <w:p>
      <w:r>
        <w:pict>
          <v:rect style="width:0;height:1.5pt" o:hralign="center" o:hrstd="t" o:hr="t"/>
        </w:pict>
      </w:r>
    </w:p>
    <w:bookmarkEnd w:id="10"/>
    <w:bookmarkStart w:id="16" w:name="the-five-issues-that-matter-most"/>
    <w:p>
      <w:pPr>
        <w:pStyle w:val="Heading2"/>
      </w:pPr>
      <w:r>
        <w:t xml:space="preserve">The five issues that matter most</w:t>
      </w:r>
    </w:p>
    <w:bookmarkStart w:id="11" w:name="Xe102c463fabaa9228e6b293353017263684b2b0"/>
    <w:p>
      <w:pPr>
        <w:pStyle w:val="Heading3"/>
      </w:pPr>
      <w:r>
        <w:t xml:space="preserve">1. Can spending momentum survive a more difficult travel and energy backdrop?</w:t>
      </w:r>
    </w:p>
    <w:p>
      <w:pPr>
        <w:pStyle w:val="FirstParagraph"/>
      </w:pPr>
      <w:r>
        <w:t xml:space="preserve">Q1 billed business rose 10% as reported and 9% on an FX-adjusted basis—the strongest growth in three years. The underlying composition was also encouraging:</w:t>
      </w:r>
    </w:p>
    <w:p>
      <w:pPr>
        <w:pStyle w:val="Compact"/>
        <w:numPr>
          <w:ilvl w:val="0"/>
          <w:numId w:val="1003"/>
        </w:numPr>
      </w:pPr>
      <w:r>
        <w:t xml:space="preserve">Goods and services:</w:t>
      </w:r>
      <w:r>
        <w:t xml:space="preserve"> </w:t>
      </w:r>
      <w:r>
        <w:rPr>
          <w:b/>
          <w:bCs/>
        </w:rPr>
        <w:t xml:space="preserve">+8% FX-adjusted</w:t>
      </w:r>
    </w:p>
    <w:p>
      <w:pPr>
        <w:pStyle w:val="Compact"/>
        <w:numPr>
          <w:ilvl w:val="0"/>
          <w:numId w:val="1003"/>
        </w:numPr>
      </w:pPr>
      <w:r>
        <w:t xml:space="preserve">Travel and entertainment:</w:t>
      </w:r>
      <w:r>
        <w:t xml:space="preserve"> </w:t>
      </w:r>
      <w:r>
        <w:rPr>
          <w:b/>
          <w:bCs/>
        </w:rPr>
        <w:t xml:space="preserve">+9% FX-adjusted</w:t>
      </w:r>
    </w:p>
    <w:p>
      <w:pPr>
        <w:pStyle w:val="Compact"/>
        <w:numPr>
          <w:ilvl w:val="0"/>
          <w:numId w:val="1003"/>
        </w:numPr>
      </w:pPr>
      <w:r>
        <w:t xml:space="preserve">U.S. Consumer Services:</w:t>
      </w:r>
      <w:r>
        <w:t xml:space="preserve"> </w:t>
      </w:r>
      <w:r>
        <w:rPr>
          <w:b/>
          <w:bCs/>
        </w:rPr>
        <w:t xml:space="preserve">+10%</w:t>
      </w:r>
    </w:p>
    <w:p>
      <w:pPr>
        <w:pStyle w:val="Compact"/>
        <w:numPr>
          <w:ilvl w:val="0"/>
          <w:numId w:val="1003"/>
        </w:numPr>
      </w:pPr>
      <w:r>
        <w:t xml:space="preserve">International Card Services:</w:t>
      </w:r>
      <w:r>
        <w:t xml:space="preserve"> </w:t>
      </w:r>
      <w:r>
        <w:rPr>
          <w:b/>
          <w:bCs/>
        </w:rPr>
        <w:t xml:space="preserve">+13% FX-adjusted</w:t>
      </w:r>
    </w:p>
    <w:p>
      <w:pPr>
        <w:pStyle w:val="Compact"/>
        <w:numPr>
          <w:ilvl w:val="0"/>
          <w:numId w:val="1003"/>
        </w:numPr>
      </w:pPr>
      <w:r>
        <w:t xml:space="preserve">Commercial Services:</w:t>
      </w:r>
      <w:r>
        <w:t xml:space="preserve"> </w:t>
      </w:r>
      <w:r>
        <w:rPr>
          <w:b/>
          <w:bCs/>
        </w:rPr>
        <w:t xml:space="preserve">+4%</w:t>
      </w:r>
    </w:p>
    <w:p>
      <w:pPr>
        <w:pStyle w:val="FirstParagraph"/>
      </w:pPr>
      <w:r>
        <w:t xml:space="preserve">Management noted some airline softness late in Q1 due to Middle East travel disruptions, but characterized the effect as modest. The conflict and higher fuel prices remained relevant during Q2, creating a useful test of the premium customer base’s resilience.</w:t>
      </w:r>
    </w:p>
    <w:p>
      <w:pPr>
        <w:pStyle w:val="BodyText"/>
      </w:pPr>
      <w:r>
        <w:rPr>
          <w:b/>
          <w:bCs/>
        </w:rPr>
        <w:t xml:space="preserve">What investors should watch:</w:t>
      </w:r>
    </w:p>
    <w:p>
      <w:pPr>
        <w:pStyle w:val="Compact"/>
        <w:numPr>
          <w:ilvl w:val="0"/>
          <w:numId w:val="1004"/>
        </w:numPr>
      </w:pPr>
      <w:r>
        <w:t xml:space="preserve">Total billed-business growth holding near</w:t>
      </w:r>
      <w:r>
        <w:t xml:space="preserve"> </w:t>
      </w:r>
      <w:r>
        <w:rPr>
          <w:b/>
          <w:bCs/>
        </w:rPr>
        <w:t xml:space="preserve">9% FX-adjusted</w:t>
      </w:r>
    </w:p>
    <w:p>
      <w:pPr>
        <w:pStyle w:val="Compact"/>
        <w:numPr>
          <w:ilvl w:val="0"/>
          <w:numId w:val="1004"/>
        </w:numPr>
      </w:pPr>
      <w:r>
        <w:t xml:space="preserve">U.S. consumer growth remaining close to double digits</w:t>
      </w:r>
    </w:p>
    <w:p>
      <w:pPr>
        <w:pStyle w:val="Compact"/>
        <w:numPr>
          <w:ilvl w:val="0"/>
          <w:numId w:val="1004"/>
        </w:numPr>
      </w:pPr>
      <w:r>
        <w:t xml:space="preserve">Airline, lodging and restaurant trends</w:t>
      </w:r>
    </w:p>
    <w:p>
      <w:pPr>
        <w:pStyle w:val="Compact"/>
        <w:numPr>
          <w:ilvl w:val="0"/>
          <w:numId w:val="1004"/>
        </w:numPr>
      </w:pPr>
      <w:r>
        <w:t xml:space="preserve">Whether higher fuel spending is additive or crowds out discretionary categories</w:t>
      </w:r>
    </w:p>
    <w:p>
      <w:pPr>
        <w:pStyle w:val="Compact"/>
        <w:numPr>
          <w:ilvl w:val="0"/>
          <w:numId w:val="1004"/>
        </w:numPr>
      </w:pPr>
      <w:r>
        <w:t xml:space="preserve">Cross-border spending and international travel</w:t>
      </w:r>
    </w:p>
    <w:p>
      <w:pPr>
        <w:pStyle w:val="Compact"/>
        <w:numPr>
          <w:ilvl w:val="0"/>
          <w:numId w:val="1004"/>
        </w:numPr>
      </w:pPr>
      <w:r>
        <w:t xml:space="preserve">Any material deceleration in July</w:t>
      </w:r>
    </w:p>
    <w:p>
      <w:pPr>
        <w:pStyle w:val="FirstParagraph"/>
      </w:pPr>
      <w:r>
        <w:t xml:space="preserve">A deceleration caused only by temporary travel disruption would be manageable. Broad weakness across luxury retail, dining and premium consumer spending would be more concerning.</w:t>
      </w:r>
    </w:p>
    <w:p>
      <w:r>
        <w:pict>
          <v:rect style="width:0;height:1.5pt" o:hralign="center" o:hrstd="t" o:hr="t"/>
        </w:pict>
      </w:r>
    </w:p>
    <w:bookmarkEnd w:id="11"/>
    <w:bookmarkStart w:id="12" w:name="Xe868d8565d3ff8a5538ab5e763d8a708fbb2ca4"/>
    <w:p>
      <w:pPr>
        <w:pStyle w:val="Heading3"/>
      </w:pPr>
      <w:r>
        <w:t xml:space="preserve">2. The Platinum refresh needs to prove its economics</w:t>
      </w:r>
    </w:p>
    <w:p>
      <w:pPr>
        <w:pStyle w:val="FirstParagraph"/>
      </w:pPr>
      <w:r>
        <w:t xml:space="preserve">The refreshed U.S. Consumer Platinum portfolio was a central driver of Q1’s acceleration. Management reported:</w:t>
      </w:r>
    </w:p>
    <w:p>
      <w:pPr>
        <w:pStyle w:val="Compact"/>
        <w:numPr>
          <w:ilvl w:val="0"/>
          <w:numId w:val="1005"/>
        </w:numPr>
      </w:pPr>
      <w:r>
        <w:t xml:space="preserve">A six-percentage-point acceleration in U.S. Platinum spending</w:t>
      </w:r>
    </w:p>
    <w:p>
      <w:pPr>
        <w:pStyle w:val="Compact"/>
        <w:numPr>
          <w:ilvl w:val="0"/>
          <w:numId w:val="1005"/>
        </w:numPr>
      </w:pPr>
      <w:r>
        <w:t xml:space="preserve">High retention despite the higher annual fee</w:t>
      </w:r>
    </w:p>
    <w:p>
      <w:pPr>
        <w:pStyle w:val="Compact"/>
        <w:numPr>
          <w:ilvl w:val="0"/>
          <w:numId w:val="1005"/>
        </w:numPr>
      </w:pPr>
      <w:r>
        <w:t xml:space="preserve">Strong acquisition of new premium customers</w:t>
      </w:r>
    </w:p>
    <w:p>
      <w:pPr>
        <w:pStyle w:val="Compact"/>
        <w:numPr>
          <w:ilvl w:val="0"/>
          <w:numId w:val="1005"/>
        </w:numPr>
      </w:pPr>
      <w:r>
        <w:t xml:space="preserve">Fine Hotels + Resorts and Hotel Collection lodging spend up 50%</w:t>
      </w:r>
    </w:p>
    <w:p>
      <w:pPr>
        <w:pStyle w:val="Compact"/>
        <w:numPr>
          <w:ilvl w:val="0"/>
          <w:numId w:val="1005"/>
        </w:numPr>
      </w:pPr>
      <w:r>
        <w:t xml:space="preserve">Spending at U.S. Resy restaurants up 20%</w:t>
      </w:r>
    </w:p>
    <w:p>
      <w:pPr>
        <w:pStyle w:val="FirstParagraph"/>
      </w:pPr>
      <w:r>
        <w:t xml:space="preserve">Only about one-quarter of the U.S. Consumer Platinum portfolio had been billed at the higher annual fee by the end of Q1. That should make Q2 an important quarter for net card-fee acceleration.</w:t>
      </w:r>
    </w:p>
    <w:p>
      <w:pPr>
        <w:pStyle w:val="BodyText"/>
      </w:pPr>
      <w:r>
        <w:t xml:space="preserve">Management expects card-fee growth to increase as the year progresses and to exit 2026 in the high teens.</w:t>
      </w:r>
    </w:p>
    <w:p>
      <w:pPr>
        <w:pStyle w:val="BodyText"/>
      </w:pPr>
      <w:r>
        <w:rPr>
          <w:b/>
          <w:bCs/>
        </w:rPr>
        <w:t xml:space="preserve">Key indicators:</w:t>
      </w:r>
    </w:p>
    <w:p>
      <w:pPr>
        <w:pStyle w:val="Compact"/>
        <w:numPr>
          <w:ilvl w:val="0"/>
          <w:numId w:val="1006"/>
        </w:numPr>
      </w:pPr>
      <w:r>
        <w:t xml:space="preserve">Net card-fee growth at or above Q1’s</w:t>
      </w:r>
      <w:r>
        <w:t xml:space="preserve"> </w:t>
      </w:r>
      <w:r>
        <w:rPr>
          <w:b/>
          <w:bCs/>
        </w:rPr>
        <w:t xml:space="preserve">18% reported / 16% FX-adjusted</w:t>
      </w:r>
    </w:p>
    <w:p>
      <w:pPr>
        <w:pStyle w:val="Compact"/>
        <w:numPr>
          <w:ilvl w:val="0"/>
          <w:numId w:val="1006"/>
        </w:numPr>
      </w:pPr>
      <w:r>
        <w:t xml:space="preserve">No deterioration in retention after more customers receive the higher-fee bill</w:t>
      </w:r>
    </w:p>
    <w:p>
      <w:pPr>
        <w:pStyle w:val="Compact"/>
        <w:numPr>
          <w:ilvl w:val="0"/>
          <w:numId w:val="1006"/>
        </w:numPr>
      </w:pPr>
      <w:r>
        <w:t xml:space="preserve">Continued strong spending among existing Platinum members—not just new accounts</w:t>
      </w:r>
    </w:p>
    <w:p>
      <w:pPr>
        <w:pStyle w:val="Compact"/>
        <w:numPr>
          <w:ilvl w:val="0"/>
          <w:numId w:val="1006"/>
        </w:numPr>
      </w:pPr>
      <w:r>
        <w:t xml:space="preserve">Evidence that incremental annual fees and spending outweigh the cost of new benefits</w:t>
      </w:r>
    </w:p>
    <w:p>
      <w:pPr>
        <w:pStyle w:val="FirstParagraph"/>
      </w:pPr>
      <w:r>
        <w:t xml:space="preserve">This is arguably the most important structural issue in the report. Strong retention and fee growth would validate the refresh and improve the quality and predictability of AXP’s revenue mix.</w:t>
      </w:r>
    </w:p>
    <w:p>
      <w:r>
        <w:pict>
          <v:rect style="width:0;height:1.5pt" o:hralign="center" o:hrstd="t" o:hr="t"/>
        </w:pict>
      </w:r>
    </w:p>
    <w:bookmarkEnd w:id="12"/>
    <w:bookmarkStart w:id="13" w:name="X96ae883cc750406f3fdb1bbaa37e49a8b562a09"/>
    <w:p>
      <w:pPr>
        <w:pStyle w:val="Heading3"/>
      </w:pPr>
      <w:r>
        <w:t xml:space="preserve">3. Credit should be a support, but the June write-off data require adjustment</w:t>
      </w:r>
    </w:p>
    <w:p>
      <w:pPr>
        <w:pStyle w:val="FirstParagraph"/>
      </w:pPr>
      <w:r>
        <w:t xml:space="preserve">AXP’s July 15 credit disclosure was favorable: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credit metric</w:t>
            </w:r>
          </w:p>
        </w:tc>
        <w:tc>
          <w:tcPr/>
          <w:p>
            <w:pPr>
              <w:pStyle w:val="Compact"/>
              <w:jc w:val="right"/>
            </w:pPr>
            <w:r>
              <w:t xml:space="preserve">U.S. consumer</w:t>
            </w:r>
          </w:p>
        </w:tc>
        <w:tc>
          <w:tcPr/>
          <w:p>
            <w:pPr>
              <w:pStyle w:val="Compact"/>
              <w:jc w:val="right"/>
            </w:pPr>
            <w:r>
              <w:t xml:space="preserve">U.S. small business</w:t>
            </w:r>
          </w:p>
        </w:tc>
      </w:tr>
      <w:tr>
        <w:tc>
          <w:tcPr/>
          <w:p>
            <w:pPr>
              <w:pStyle w:val="Compact"/>
            </w:pPr>
            <w:r>
              <w:t xml:space="preserve">30+ day delinquency rate</w:t>
            </w:r>
          </w:p>
        </w:tc>
        <w:tc>
          <w:tcPr/>
          <w:p>
            <w:pPr>
              <w:pStyle w:val="Compact"/>
              <w:jc w:val="right"/>
            </w:pPr>
            <w:r>
              <w:rPr>
                <w:b/>
                <w:bCs/>
              </w:rPr>
              <w:t xml:space="preserve">1.1%</w:t>
            </w:r>
          </w:p>
        </w:tc>
        <w:tc>
          <w:tcPr/>
          <w:p>
            <w:pPr>
              <w:pStyle w:val="Compact"/>
              <w:jc w:val="right"/>
            </w:pPr>
            <w:r>
              <w:rPr>
                <w:b/>
                <w:bCs/>
              </w:rPr>
              <w:t xml:space="preserve">1.4%</w:t>
            </w:r>
          </w:p>
        </w:tc>
      </w:tr>
      <w:tr>
        <w:tc>
          <w:tcPr/>
          <w:p>
            <w:pPr>
              <w:pStyle w:val="Compact"/>
            </w:pPr>
            <w:r>
              <w:t xml:space="preserve">Principal-only net write-off rate</w:t>
            </w:r>
          </w:p>
        </w:tc>
        <w:tc>
          <w:tcPr/>
          <w:p>
            <w:pPr>
              <w:pStyle w:val="Compact"/>
              <w:jc w:val="right"/>
            </w:pPr>
            <w:r>
              <w:rPr>
                <w:b/>
                <w:bCs/>
              </w:rPr>
              <w:t xml:space="preserve">1.8%</w:t>
            </w:r>
          </w:p>
        </w:tc>
        <w:tc>
          <w:tcPr/>
          <w:p>
            <w:pPr>
              <w:pStyle w:val="Compact"/>
              <w:jc w:val="right"/>
            </w:pPr>
            <w:r>
              <w:rPr>
                <w:b/>
                <w:bCs/>
              </w:rPr>
              <w:t xml:space="preserve">2.4%</w:t>
            </w:r>
          </w:p>
        </w:tc>
      </w:tr>
    </w:tbl>
    <w:p>
      <w:pPr>
        <w:pStyle w:val="BodyText"/>
      </w:pPr>
      <w:r>
        <w:t xml:space="preserve">June delinquencies were also stable or lower sequentially. However, AXP sold certain previously written-off balances during June, lowering the reported June net write-off rates by approximately:</w:t>
      </w:r>
    </w:p>
    <w:p>
      <w:pPr>
        <w:pStyle w:val="Compact"/>
        <w:numPr>
          <w:ilvl w:val="0"/>
          <w:numId w:val="1007"/>
        </w:numPr>
      </w:pPr>
      <w:r>
        <w:rPr>
          <w:b/>
          <w:bCs/>
        </w:rPr>
        <w:t xml:space="preserve">0.3 percentage points</w:t>
      </w:r>
      <w:r>
        <w:t xml:space="preserve"> </w:t>
      </w:r>
      <w:r>
        <w:t xml:space="preserve">for U.S. consumer</w:t>
      </w:r>
    </w:p>
    <w:p>
      <w:pPr>
        <w:pStyle w:val="Compact"/>
        <w:numPr>
          <w:ilvl w:val="0"/>
          <w:numId w:val="1007"/>
        </w:numPr>
      </w:pPr>
      <w:r>
        <w:rPr>
          <w:b/>
          <w:bCs/>
        </w:rPr>
        <w:t xml:space="preserve">0.1 percentage points</w:t>
      </w:r>
      <w:r>
        <w:t xml:space="preserve"> </w:t>
      </w:r>
      <w:r>
        <w:t xml:space="preserve">for U.S. small business</w:t>
      </w:r>
    </w:p>
    <w:p>
      <w:pPr>
        <w:pStyle w:val="FirstParagraph"/>
      </w:pPr>
      <w:r>
        <w:t xml:space="preserve">Investors should therefore focus more on delinquency trends, reserve commentary and normalized loss rates than on the unusually low June write-off number.</w:t>
      </w:r>
    </w:p>
    <w:p>
      <w:pPr>
        <w:pStyle w:val="BodyText"/>
      </w:pPr>
      <w:r>
        <w:t xml:space="preserve">The broader picture remains favorable. Q1 consolidated principal-only write-offs were 2.0%, down from 2.1% a year earlier, while consumer and small-business delinquencies remained low. Management had expected generally stable credit metrics during 2026.</w:t>
      </w:r>
    </w:p>
    <w:p>
      <w:pPr>
        <w:pStyle w:val="BodyText"/>
      </w:pPr>
      <w:r>
        <w:rPr>
          <w:b/>
          <w:bCs/>
        </w:rPr>
        <w:t xml:space="preserve">A positive outcome:</w:t>
      </w:r>
      <w:r>
        <w:t xml:space="preserve"> </w:t>
      </w:r>
      <w:r>
        <w:t xml:space="preserve">stable delinquencies, limited reserve building and no meaningful deterioration in recently acquired customers.</w:t>
      </w:r>
    </w:p>
    <w:p>
      <w:pPr>
        <w:pStyle w:val="BodyText"/>
      </w:pPr>
      <w:r>
        <w:rPr>
          <w:b/>
          <w:bCs/>
        </w:rPr>
        <w:t xml:space="preserve">A negative outcome:</w:t>
      </w:r>
      <w:r>
        <w:t xml:space="preserve"> </w:t>
      </w:r>
      <w:r>
        <w:t xml:space="preserve">a reserve build driven by a weaker economic outlook, rising small-business delinquencies or evidence that younger customer cohorts are becoming more cyclical.</w:t>
      </w:r>
    </w:p>
    <w:p>
      <w:r>
        <w:pict>
          <v:rect style="width:0;height:1.5pt" o:hralign="center" o:hrstd="t" o:hr="t"/>
        </w:pict>
      </w:r>
    </w:p>
    <w:bookmarkEnd w:id="13"/>
    <w:bookmarkStart w:id="14" w:name="X55c04d69ff1235414599aa919a7af370002f865"/>
    <w:p>
      <w:pPr>
        <w:pStyle w:val="Heading3"/>
      </w:pPr>
      <w:r>
        <w:t xml:space="preserve">4. Revenue growth may be stronger than EPS growth by design</w:t>
      </w:r>
    </w:p>
    <w:p>
      <w:pPr>
        <w:pStyle w:val="FirstParagraph"/>
      </w:pPr>
      <w:r>
        <w:t xml:space="preserve">Q1 revenue rose 11%, but management kept full-year guidance unchanged and increased planned marketing and technology investment. Full-year marketing expense is now expected to grow at a mid-single-digit rate, despite being flat in Q1.</w:t>
      </w:r>
    </w:p>
    <w:p>
      <w:pPr>
        <w:pStyle w:val="BodyText"/>
      </w:pPr>
      <w:r>
        <w:t xml:space="preserve">That implies a meaningful step-up in spending during the remainder of the year.</w:t>
      </w:r>
    </w:p>
    <w:p>
      <w:pPr>
        <w:pStyle w:val="BodyText"/>
      </w:pPr>
      <w:r>
        <w:t xml:space="preserve">Management also continues to invest in:</w:t>
      </w:r>
    </w:p>
    <w:p>
      <w:pPr>
        <w:pStyle w:val="Compact"/>
        <w:numPr>
          <w:ilvl w:val="0"/>
          <w:numId w:val="1008"/>
        </w:numPr>
      </w:pPr>
      <w:r>
        <w:t xml:space="preserve">Customer acquisition</w:t>
      </w:r>
    </w:p>
    <w:p>
      <w:pPr>
        <w:pStyle w:val="Compact"/>
        <w:numPr>
          <w:ilvl w:val="0"/>
          <w:numId w:val="1008"/>
        </w:numPr>
      </w:pPr>
      <w:r>
        <w:t xml:space="preserve">AI and agentic-commerce capabilities</w:t>
      </w:r>
    </w:p>
    <w:p>
      <w:pPr>
        <w:pStyle w:val="Compact"/>
        <w:numPr>
          <w:ilvl w:val="0"/>
          <w:numId w:val="1008"/>
        </w:numPr>
      </w:pPr>
      <w:r>
        <w:t xml:space="preserve">Commercial expense-management software</w:t>
      </w:r>
    </w:p>
    <w:p>
      <w:pPr>
        <w:pStyle w:val="Compact"/>
        <w:numPr>
          <w:ilvl w:val="0"/>
          <w:numId w:val="1008"/>
        </w:numPr>
      </w:pPr>
      <w:r>
        <w:t xml:space="preserve">Eight new or enhanced commercial products and capabilities</w:t>
      </w:r>
    </w:p>
    <w:p>
      <w:pPr>
        <w:pStyle w:val="Compact"/>
        <w:numPr>
          <w:ilvl w:val="0"/>
          <w:numId w:val="1008"/>
        </w:numPr>
      </w:pPr>
      <w:r>
        <w:t xml:space="preserve">Premium benefits, lounges, dining and sports partnerships</w:t>
      </w:r>
    </w:p>
    <w:p>
      <w:pPr>
        <w:pStyle w:val="Compact"/>
        <w:numPr>
          <w:ilvl w:val="0"/>
          <w:numId w:val="1008"/>
        </w:numPr>
      </w:pPr>
      <w:r>
        <w:t xml:space="preserve">Enterprise technology and risk management</w:t>
      </w:r>
    </w:p>
    <w:p>
      <w:pPr>
        <w:pStyle w:val="FirstParagraph"/>
      </w:pPr>
      <w:r>
        <w:t xml:space="preserve">Variable customer engagement costs are another important factor. Q1 Card Member services expense rose 49%, largely because of the Platinum refresh and increased benefit utilization. Management still expects the full-year variable customer engagement cost-to-revenue ratio to be around 44%, below Q1’s 44.7%.</w:t>
      </w:r>
    </w:p>
    <w:p>
      <w:pPr>
        <w:pStyle w:val="BodyText"/>
      </w:pPr>
      <w:r>
        <w:rPr>
          <w:b/>
          <w:bCs/>
        </w:rPr>
        <w:t xml:space="preserve">The key question:</w:t>
      </w:r>
      <w:r>
        <w:t xml:space="preserve"> </w:t>
      </w:r>
      <w:r>
        <w:t xml:space="preserve">Is AXP producing operating leverage before discretionary reinvestment?</w:t>
      </w:r>
    </w:p>
    <w:p>
      <w:pPr>
        <w:pStyle w:val="BodyText"/>
      </w:pPr>
      <w:r>
        <w:t xml:space="preserve">Investors should distinguish between:</w:t>
      </w:r>
    </w:p>
    <w:p>
      <w:pPr>
        <w:pStyle w:val="Compact"/>
        <w:numPr>
          <w:ilvl w:val="0"/>
          <w:numId w:val="1009"/>
        </w:numPr>
      </w:pPr>
      <w:r>
        <w:t xml:space="preserve">Higher expenses caused by successful customer engagement and acquisition;</w:t>
      </w:r>
    </w:p>
    <w:p>
      <w:pPr>
        <w:pStyle w:val="Compact"/>
        <w:numPr>
          <w:ilvl w:val="0"/>
          <w:numId w:val="1009"/>
        </w:numPr>
      </w:pPr>
      <w:r>
        <w:t xml:space="preserve">Deliberate investment funded by revenue upside; and</w:t>
      </w:r>
    </w:p>
    <w:p>
      <w:pPr>
        <w:pStyle w:val="Compact"/>
        <w:numPr>
          <w:ilvl w:val="0"/>
          <w:numId w:val="1009"/>
        </w:numPr>
      </w:pPr>
      <w:r>
        <w:t xml:space="preserve">Structural cost pressure or weaker benefit economics.</w:t>
      </w:r>
    </w:p>
    <w:p>
      <w:pPr>
        <w:pStyle w:val="FirstParagraph"/>
      </w:pPr>
      <w:r>
        <w:t xml:space="preserve">A revenue beat accompanied by disciplined underlying expenses would be more valuable than a nominal EPS beat driven by taxes, reserves or one-time gains.</w:t>
      </w:r>
    </w:p>
    <w:p>
      <w:r>
        <w:pict>
          <v:rect style="width:0;height:1.5pt" o:hralign="center" o:hrstd="t" o:hr="t"/>
        </w:pict>
      </w:r>
    </w:p>
    <w:bookmarkEnd w:id="14"/>
    <w:bookmarkStart w:id="15" w:name="X08e435977adbdc8231bd0dece0df8db9cffe908"/>
    <w:p>
      <w:pPr>
        <w:pStyle w:val="Heading3"/>
      </w:pPr>
      <w:r>
        <w:t xml:space="preserve">5. Commercial Services remains the weakest operating area</w:t>
      </w:r>
    </w:p>
    <w:p>
      <w:pPr>
        <w:pStyle w:val="FirstParagraph"/>
      </w:pPr>
      <w:r>
        <w:t xml:space="preserve">Commercial Services billed business grew only 4% in Q1. Management said organic conditions were showing some improvement, but the exit of certain Amazon and Lowe’s small-business cobrand portfolios will create a low-single-digit drag on SME spending growth beginning in Q2. The portfolios should have a negligible effect on pretax income.</w:t>
      </w:r>
    </w:p>
    <w:p>
      <w:pPr>
        <w:pStyle w:val="BodyText"/>
      </w:pPr>
      <w:r>
        <w:t xml:space="preserve">AXP is responding with its largest one-year commercial product expansion, including:</w:t>
      </w:r>
    </w:p>
    <w:p>
      <w:pPr>
        <w:pStyle w:val="Compact"/>
        <w:numPr>
          <w:ilvl w:val="0"/>
          <w:numId w:val="1010"/>
        </w:numPr>
      </w:pPr>
      <w:r>
        <w:t xml:space="preserve">Graphite Business Cash Unlimited Card</w:t>
      </w:r>
    </w:p>
    <w:p>
      <w:pPr>
        <w:pStyle w:val="Compact"/>
        <w:numPr>
          <w:ilvl w:val="0"/>
          <w:numId w:val="1010"/>
        </w:numPr>
      </w:pPr>
      <w:r>
        <w:t xml:space="preserve">A Corporate Cash Back Card</w:t>
      </w:r>
    </w:p>
    <w:p>
      <w:pPr>
        <w:pStyle w:val="Compact"/>
        <w:numPr>
          <w:ilvl w:val="0"/>
          <w:numId w:val="1010"/>
        </w:numPr>
      </w:pPr>
      <w:r>
        <w:t xml:space="preserve">New expense-management software</w:t>
      </w:r>
    </w:p>
    <w:p>
      <w:pPr>
        <w:pStyle w:val="Compact"/>
        <w:numPr>
          <w:ilvl w:val="0"/>
          <w:numId w:val="1010"/>
        </w:numPr>
      </w:pPr>
      <w:r>
        <w:t xml:space="preserve">AI-enabled capabilities</w:t>
      </w:r>
    </w:p>
    <w:p>
      <w:pPr>
        <w:pStyle w:val="Compact"/>
        <w:numPr>
          <w:ilvl w:val="0"/>
          <w:numId w:val="1010"/>
        </w:numPr>
      </w:pPr>
      <w:r>
        <w:t xml:space="preserve">Integration of Center and Hypercard technology</w:t>
      </w:r>
    </w:p>
    <w:p>
      <w:pPr>
        <w:pStyle w:val="FirstParagraph"/>
      </w:pPr>
      <w:r>
        <w:t xml:space="preserve">Management has cautioned that most of the growth benefit will likely emerge in 2027 rather than 2026.</w:t>
      </w:r>
    </w:p>
    <w:p>
      <w:pPr>
        <w:pStyle w:val="BodyText"/>
      </w:pPr>
      <w:r>
        <w:t xml:space="preserve">For Q2, investors should look for stabilization rather than a dramatic acceleration. Commercial growth above the Q1 rate, after adjusting for portfolio exits, would be an encouraging signal.</w:t>
      </w:r>
    </w:p>
    <w:p>
      <w:r>
        <w:pict>
          <v:rect style="width:0;height:1.5pt" o:hralign="center" o:hrstd="t" o:hr="t"/>
        </w:pict>
      </w:r>
    </w:p>
    <w:bookmarkEnd w:id="15"/>
    <w:bookmarkEnd w:id="16"/>
    <w:bookmarkStart w:id="20" w:name="X4200cde2830a3d24fbe92e26f5522e39df139d5"/>
    <w:p>
      <w:pPr>
        <w:pStyle w:val="Heading2"/>
      </w:pPr>
      <w:r>
        <w:t xml:space="preserve">Other items to separate from underlying performance</w:t>
      </w:r>
    </w:p>
    <w:bookmarkStart w:id="17" w:name="potential-gbtg-gain"/>
    <w:p>
      <w:pPr>
        <w:pStyle w:val="Heading3"/>
      </w:pPr>
      <w:r>
        <w:t xml:space="preserve">Potential GBTG gain</w:t>
      </w:r>
    </w:p>
    <w:p>
      <w:pPr>
        <w:pStyle w:val="FirstParagraph"/>
      </w:pPr>
      <w:r>
        <w:t xml:space="preserve">AXP agreed to sell its approximately 30% interest in Global Business Travel Group as part of the Long Lake and General Catalyst acquisition. Upon closing, AXP expects:</w:t>
      </w:r>
    </w:p>
    <w:p>
      <w:pPr>
        <w:pStyle w:val="Compact"/>
        <w:numPr>
          <w:ilvl w:val="0"/>
          <w:numId w:val="1011"/>
        </w:numPr>
      </w:pPr>
      <w:r>
        <w:t xml:space="preserve">Approximately</w:t>
      </w:r>
      <w:r>
        <w:t xml:space="preserve"> </w:t>
      </w:r>
      <w:r>
        <w:rPr>
          <w:b/>
          <w:bCs/>
        </w:rPr>
        <w:t xml:space="preserve">$1.5 billion of proceeds</w:t>
      </w:r>
    </w:p>
    <w:p>
      <w:pPr>
        <w:pStyle w:val="Compact"/>
        <w:numPr>
          <w:ilvl w:val="0"/>
          <w:numId w:val="1011"/>
        </w:numPr>
      </w:pPr>
      <w:r>
        <w:t xml:space="preserve">Approximately</w:t>
      </w:r>
      <w:r>
        <w:t xml:space="preserve"> </w:t>
      </w:r>
      <w:r>
        <w:rPr>
          <w:b/>
          <w:bCs/>
        </w:rPr>
        <w:t xml:space="preserve">$975 million of pretax gain</w:t>
      </w:r>
    </w:p>
    <w:p>
      <w:pPr>
        <w:pStyle w:val="FirstParagraph"/>
      </w:pPr>
      <w:r>
        <w:t xml:space="preserve">The gain was</w:t>
      </w:r>
      <w:r>
        <w:t xml:space="preserve"> </w:t>
      </w:r>
      <w:r>
        <w:rPr>
          <w:b/>
          <w:bCs/>
        </w:rPr>
        <w:t xml:space="preserve">not included</w:t>
      </w:r>
      <w:r>
        <w:t xml:space="preserve"> </w:t>
      </w:r>
      <w:r>
        <w:t xml:space="preserve">in AXP’s existing 2026 guidance. On a rough after-tax, per-share basis, it could be worth approximately $1.10, but timing depends on the transaction closing.</w:t>
      </w:r>
    </w:p>
    <w:p>
      <w:pPr>
        <w:pStyle w:val="BodyText"/>
      </w:pPr>
      <w:r>
        <w:t xml:space="preserve">Management has said it expects to invest part of the gain and return part to shareholders. Investors should exclude this item when assessing underlying earnings power and carefully distinguish between reported and operating guidance.</w:t>
      </w:r>
    </w:p>
    <w:bookmarkEnd w:id="17"/>
    <w:bookmarkStart w:id="18" w:name="tax-rate-and-one-time-items"/>
    <w:p>
      <w:pPr>
        <w:pStyle w:val="Heading3"/>
      </w:pPr>
      <w:r>
        <w:t xml:space="preserve">Tax rate and one-time items</w:t>
      </w:r>
    </w:p>
    <w:p>
      <w:pPr>
        <w:pStyle w:val="FirstParagraph"/>
      </w:pPr>
      <w:r>
        <w:t xml:space="preserve">Q2 2025 had a relatively low 18.7% effective tax rate due to discrete benefits. That creates a less favorable EPS comparison if the Q2 2026 rate returns to the low-20% range.</w:t>
      </w:r>
    </w:p>
    <w:p>
      <w:pPr>
        <w:pStyle w:val="BodyText"/>
      </w:pPr>
      <w:r>
        <w:t xml:space="preserve">Q1 2026 also benefited from several favorable expense items, including a European VAT-related reserve release and a gain connected to the Swisscard acquisition. Q2’s underlying expense growth may therefore look less favorable sequentially even without deterioration in the business.</w:t>
      </w:r>
    </w:p>
    <w:bookmarkEnd w:id="18"/>
    <w:bookmarkStart w:id="19" w:name="portfolio-exits"/>
    <w:p>
      <w:pPr>
        <w:pStyle w:val="Heading3"/>
      </w:pPr>
      <w:r>
        <w:t xml:space="preserve">Portfolio exits</w:t>
      </w:r>
    </w:p>
    <w:p>
      <w:pPr>
        <w:pStyle w:val="FirstParagraph"/>
      </w:pPr>
      <w:r>
        <w:t xml:space="preserve">The small-business cobrand portfolio exits will distort:</w:t>
      </w:r>
    </w:p>
    <w:p>
      <w:pPr>
        <w:pStyle w:val="Compact"/>
        <w:numPr>
          <w:ilvl w:val="0"/>
          <w:numId w:val="1012"/>
        </w:numPr>
      </w:pPr>
      <w:r>
        <w:t xml:space="preserve">Commercial billed business</w:t>
      </w:r>
    </w:p>
    <w:p>
      <w:pPr>
        <w:pStyle w:val="Compact"/>
        <w:numPr>
          <w:ilvl w:val="0"/>
          <w:numId w:val="1012"/>
        </w:numPr>
      </w:pPr>
      <w:r>
        <w:t xml:space="preserve">Balance growth</w:t>
      </w:r>
    </w:p>
    <w:p>
      <w:pPr>
        <w:pStyle w:val="Compact"/>
        <w:numPr>
          <w:ilvl w:val="0"/>
          <w:numId w:val="1012"/>
        </w:numPr>
      </w:pPr>
      <w:r>
        <w:t xml:space="preserve">Some consolidated revenue metrics</w:t>
      </w:r>
    </w:p>
    <w:p>
      <w:pPr>
        <w:pStyle w:val="FirstParagraph"/>
      </w:pPr>
      <w:r>
        <w:t xml:space="preserve">Management has consistently said the pretax-income effect should be negligible. Investors should avoid treating mechanically slower volumes as equivalent to weaker economics.</w:t>
      </w:r>
    </w:p>
    <w:p>
      <w:r>
        <w:pict>
          <v:rect style="width:0;height:1.5pt" o:hralign="center" o:hrstd="t" o:hr="t"/>
        </w:pict>
      </w:r>
    </w:p>
    <w:bookmarkEnd w:id="19"/>
    <w:bookmarkEnd w:id="20"/>
    <w:bookmarkStart w:id="24" w:name="guidance-what-would-count-as-a-win"/>
    <w:p>
      <w:pPr>
        <w:pStyle w:val="Heading2"/>
      </w:pPr>
      <w:r>
        <w:t xml:space="preserve">Guidance: what would count as a win?</w:t>
      </w:r>
    </w:p>
    <w:bookmarkStart w:id="21" w:name="bullish"/>
    <w:p>
      <w:pPr>
        <w:pStyle w:val="Heading3"/>
      </w:pPr>
      <w:r>
        <w:t xml:space="preserve">Bullish</w:t>
      </w:r>
    </w:p>
    <w:p>
      <w:pPr>
        <w:pStyle w:val="Compact"/>
        <w:numPr>
          <w:ilvl w:val="0"/>
          <w:numId w:val="1013"/>
        </w:numPr>
      </w:pPr>
      <w:r>
        <w:t xml:space="preserve">Revenue guidance raised or narrowed to the upper end</w:t>
      </w:r>
    </w:p>
    <w:p>
      <w:pPr>
        <w:pStyle w:val="Compact"/>
        <w:numPr>
          <w:ilvl w:val="0"/>
          <w:numId w:val="1013"/>
        </w:numPr>
      </w:pPr>
      <w:r>
        <w:t xml:space="preserve">EPS guidance raised on underlying performance, excluding the GBTG gain</w:t>
      </w:r>
    </w:p>
    <w:p>
      <w:pPr>
        <w:pStyle w:val="Compact"/>
        <w:numPr>
          <w:ilvl w:val="0"/>
          <w:numId w:val="1013"/>
        </w:numPr>
      </w:pPr>
      <w:r>
        <w:t xml:space="preserve">Billed business remains around 9%–10% FX-adjusted</w:t>
      </w:r>
    </w:p>
    <w:p>
      <w:pPr>
        <w:pStyle w:val="Compact"/>
        <w:numPr>
          <w:ilvl w:val="0"/>
          <w:numId w:val="1013"/>
        </w:numPr>
      </w:pPr>
      <w:r>
        <w:t xml:space="preserve">Net card fees accelerate</w:t>
      </w:r>
    </w:p>
    <w:p>
      <w:pPr>
        <w:pStyle w:val="Compact"/>
        <w:numPr>
          <w:ilvl w:val="0"/>
          <w:numId w:val="1013"/>
        </w:numPr>
      </w:pPr>
      <w:r>
        <w:t xml:space="preserve">Platinum retention remains unchanged</w:t>
      </w:r>
    </w:p>
    <w:p>
      <w:pPr>
        <w:pStyle w:val="Compact"/>
        <w:numPr>
          <w:ilvl w:val="0"/>
          <w:numId w:val="1013"/>
        </w:numPr>
      </w:pPr>
      <w:r>
        <w:t xml:space="preserve">Credit remains stable</w:t>
      </w:r>
    </w:p>
    <w:p>
      <w:pPr>
        <w:pStyle w:val="Compact"/>
        <w:numPr>
          <w:ilvl w:val="0"/>
          <w:numId w:val="1013"/>
        </w:numPr>
      </w:pPr>
      <w:r>
        <w:t xml:space="preserve">Management indicates that higher investment is still being funded by operating upside</w:t>
      </w:r>
    </w:p>
    <w:bookmarkEnd w:id="21"/>
    <w:bookmarkStart w:id="22" w:name="acceptable"/>
    <w:p>
      <w:pPr>
        <w:pStyle w:val="Heading3"/>
      </w:pPr>
      <w:r>
        <w:t xml:space="preserve">Acceptable</w:t>
      </w:r>
    </w:p>
    <w:p>
      <w:pPr>
        <w:pStyle w:val="Compact"/>
        <w:numPr>
          <w:ilvl w:val="0"/>
          <w:numId w:val="1014"/>
        </w:numPr>
      </w:pPr>
      <w:r>
        <w:t xml:space="preserve">Q2 meets or modestly beats consensus</w:t>
      </w:r>
    </w:p>
    <w:p>
      <w:pPr>
        <w:pStyle w:val="Compact"/>
        <w:numPr>
          <w:ilvl w:val="0"/>
          <w:numId w:val="1014"/>
        </w:numPr>
      </w:pPr>
      <w:r>
        <w:t xml:space="preserve">Guidance is reiterated</w:t>
      </w:r>
    </w:p>
    <w:p>
      <w:pPr>
        <w:pStyle w:val="Compact"/>
        <w:numPr>
          <w:ilvl w:val="0"/>
          <w:numId w:val="1014"/>
        </w:numPr>
      </w:pPr>
      <w:r>
        <w:t xml:space="preserve">Management emphasizes conservatism, macro uncertainty and reinvestment</w:t>
      </w:r>
    </w:p>
    <w:p>
      <w:pPr>
        <w:pStyle w:val="Compact"/>
        <w:numPr>
          <w:ilvl w:val="0"/>
          <w:numId w:val="1014"/>
        </w:numPr>
      </w:pPr>
      <w:r>
        <w:t xml:space="preserve">Underlying spending and credit metrics remain intact</w:t>
      </w:r>
    </w:p>
    <w:p>
      <w:pPr>
        <w:pStyle w:val="Compact"/>
        <w:numPr>
          <w:ilvl w:val="0"/>
          <w:numId w:val="1014"/>
        </w:numPr>
      </w:pPr>
      <w:r>
        <w:t xml:space="preserve">Portfolio exits explain most commercial deceleration</w:t>
      </w:r>
    </w:p>
    <w:bookmarkEnd w:id="22"/>
    <w:bookmarkStart w:id="23" w:name="disappointing"/>
    <w:p>
      <w:pPr>
        <w:pStyle w:val="Heading3"/>
      </w:pPr>
      <w:r>
        <w:t xml:space="preserve">Disappointing</w:t>
      </w:r>
    </w:p>
    <w:p>
      <w:pPr>
        <w:pStyle w:val="Compact"/>
        <w:numPr>
          <w:ilvl w:val="0"/>
          <w:numId w:val="1015"/>
        </w:numPr>
      </w:pPr>
      <w:r>
        <w:t xml:space="preserve">Spending falls materially below high-single-digit growth</w:t>
      </w:r>
    </w:p>
    <w:p>
      <w:pPr>
        <w:pStyle w:val="Compact"/>
        <w:numPr>
          <w:ilvl w:val="0"/>
          <w:numId w:val="1015"/>
        </w:numPr>
      </w:pPr>
      <w:r>
        <w:t xml:space="preserve">Platinum retention or new-account acquisition weakens</w:t>
      </w:r>
    </w:p>
    <w:p>
      <w:pPr>
        <w:pStyle w:val="Compact"/>
        <w:numPr>
          <w:ilvl w:val="0"/>
          <w:numId w:val="1015"/>
        </w:numPr>
      </w:pPr>
      <w:r>
        <w:t xml:space="preserve">Benefit costs rise faster than expected</w:t>
      </w:r>
    </w:p>
    <w:p>
      <w:pPr>
        <w:pStyle w:val="Compact"/>
        <w:numPr>
          <w:ilvl w:val="0"/>
          <w:numId w:val="1015"/>
        </w:numPr>
      </w:pPr>
      <w:r>
        <w:t xml:space="preserve">Commercial weakness extends beyond portfolio-sale effects</w:t>
      </w:r>
    </w:p>
    <w:p>
      <w:pPr>
        <w:pStyle w:val="Compact"/>
        <w:numPr>
          <w:ilvl w:val="0"/>
          <w:numId w:val="1015"/>
        </w:numPr>
      </w:pPr>
      <w:r>
        <w:t xml:space="preserve">Credit reserves increase because of worsening customer behavior</w:t>
      </w:r>
    </w:p>
    <w:p>
      <w:pPr>
        <w:pStyle w:val="Compact"/>
        <w:numPr>
          <w:ilvl w:val="0"/>
          <w:numId w:val="1015"/>
        </w:numPr>
      </w:pPr>
      <w:r>
        <w:t xml:space="preserve">Guidance is maintained only through lower taxes, reserve releases or one-time gains</w:t>
      </w:r>
    </w:p>
    <w:p>
      <w:r>
        <w:pict>
          <v:rect style="width:0;height:1.5pt" o:hralign="center" o:hrstd="t" o:hr="t"/>
        </w:pict>
      </w:r>
    </w:p>
    <w:bookmarkEnd w:id="23"/>
    <w:bookmarkEnd w:id="24"/>
    <w:bookmarkStart w:id="25" w:name="questions-for-management"/>
    <w:p>
      <w:pPr>
        <w:pStyle w:val="Heading2"/>
      </w:pPr>
      <w:r>
        <w:t xml:space="preserve">Questions for management</w:t>
      </w:r>
    </w:p>
    <w:p>
      <w:pPr>
        <w:pStyle w:val="Compact"/>
        <w:numPr>
          <w:ilvl w:val="0"/>
          <w:numId w:val="1016"/>
        </w:numPr>
      </w:pPr>
      <w:r>
        <w:rPr>
          <w:b/>
          <w:bCs/>
        </w:rPr>
        <w:t xml:space="preserve">How did billed-business growth trend through April, May, June and July?</w:t>
      </w:r>
    </w:p>
    <w:p>
      <w:pPr>
        <w:pStyle w:val="Compact"/>
        <w:numPr>
          <w:ilvl w:val="0"/>
          <w:numId w:val="1016"/>
        </w:numPr>
      </w:pPr>
      <w:r>
        <w:rPr>
          <w:b/>
          <w:bCs/>
        </w:rPr>
        <w:t xml:space="preserve">Has U.S. Platinum retention changed as more customers receive the higher annual fee?</w:t>
      </w:r>
    </w:p>
    <w:p>
      <w:pPr>
        <w:pStyle w:val="Compact"/>
        <w:numPr>
          <w:ilvl w:val="0"/>
          <w:numId w:val="1016"/>
        </w:numPr>
      </w:pPr>
      <w:r>
        <w:rPr>
          <w:b/>
          <w:bCs/>
        </w:rPr>
        <w:t xml:space="preserve">How much of card-fee growth is coming from pricing versus account growth and mix?</w:t>
      </w:r>
    </w:p>
    <w:p>
      <w:pPr>
        <w:pStyle w:val="Compact"/>
        <w:numPr>
          <w:ilvl w:val="0"/>
          <w:numId w:val="1016"/>
        </w:numPr>
      </w:pPr>
      <w:r>
        <w:rPr>
          <w:b/>
          <w:bCs/>
        </w:rPr>
        <w:t xml:space="preserve">What was the normalized Q2 write-off rate excluding the sale of previously written-off balances?</w:t>
      </w:r>
    </w:p>
    <w:p>
      <w:pPr>
        <w:pStyle w:val="Compact"/>
        <w:numPr>
          <w:ilvl w:val="0"/>
          <w:numId w:val="1016"/>
        </w:numPr>
      </w:pPr>
      <w:r>
        <w:rPr>
          <w:b/>
          <w:bCs/>
        </w:rPr>
        <w:t xml:space="preserve">How much did the Amazon and Lowe’s portfolio exits reduce commercial and consolidated growth?</w:t>
      </w:r>
    </w:p>
    <w:p>
      <w:pPr>
        <w:pStyle w:val="Compact"/>
        <w:numPr>
          <w:ilvl w:val="0"/>
          <w:numId w:val="1016"/>
        </w:numPr>
      </w:pPr>
      <w:r>
        <w:rPr>
          <w:b/>
          <w:bCs/>
        </w:rPr>
        <w:t xml:space="preserve">Is the full-year 44% variable customer engagement ratio still appropriate?</w:t>
      </w:r>
    </w:p>
    <w:p>
      <w:pPr>
        <w:pStyle w:val="Compact"/>
        <w:numPr>
          <w:ilvl w:val="0"/>
          <w:numId w:val="1016"/>
        </w:numPr>
      </w:pPr>
      <w:r>
        <w:rPr>
          <w:b/>
          <w:bCs/>
        </w:rPr>
        <w:t xml:space="preserve">How much incremental marketing and technology spending was added after Q1?</w:t>
      </w:r>
    </w:p>
    <w:p>
      <w:pPr>
        <w:pStyle w:val="Compact"/>
        <w:numPr>
          <w:ilvl w:val="0"/>
          <w:numId w:val="1016"/>
        </w:numPr>
      </w:pPr>
      <w:r>
        <w:rPr>
          <w:b/>
          <w:bCs/>
        </w:rPr>
        <w:t xml:space="preserve">Does guidance continue to exclude the prospective GBTG gain, and how will proceeds be allocated?</w:t>
      </w:r>
    </w:p>
    <w:p>
      <w:pPr>
        <w:pStyle w:val="Compact"/>
        <w:numPr>
          <w:ilvl w:val="0"/>
          <w:numId w:val="1016"/>
        </w:numPr>
      </w:pPr>
      <w:r>
        <w:rPr>
          <w:b/>
          <w:bCs/>
        </w:rPr>
        <w:t xml:space="preserve">Has travel disruption or higher energy spending changed premium customer behavior in July?</w:t>
      </w:r>
    </w:p>
    <w:p>
      <w:pPr>
        <w:pStyle w:val="Compact"/>
        <w:numPr>
          <w:ilvl w:val="0"/>
          <w:numId w:val="1016"/>
        </w:numPr>
      </w:pPr>
      <w:r>
        <w:rPr>
          <w:b/>
          <w:bCs/>
        </w:rPr>
        <w:t xml:space="preserve">Is management now tracking toward the high end of the 9%–10% revenue range?</w:t>
      </w:r>
    </w:p>
    <w:p>
      <w:r>
        <w:pict>
          <v:rect style="width:0;height:1.5pt" o:hralign="center" o:hrstd="t" o:hr="t"/>
        </w:pict>
      </w:r>
    </w:p>
    <w:bookmarkEnd w:id="25"/>
    <w:bookmarkStart w:id="26" w:name="bottom-line"/>
    <w:p>
      <w:pPr>
        <w:pStyle w:val="Heading2"/>
      </w:pPr>
      <w:r>
        <w:t xml:space="preserve">Bottom line</w:t>
      </w:r>
    </w:p>
    <w:p>
      <w:pPr>
        <w:pStyle w:val="FirstParagraph"/>
      </w:pPr>
      <w:r>
        <w:t xml:space="preserve">The setup is favorable, supported by resilient premium spending, accelerating fee revenue and excellent credit quality. The cleanest source of upside is the Platinum refresh: more customers are moving onto the higher annual fee while retention and spending have so far remained strong.</w:t>
      </w:r>
    </w:p>
    <w:p>
      <w:pPr>
        <w:pStyle w:val="BodyText"/>
      </w:pPr>
      <w:r>
        <w:t xml:space="preserve">The likely debate after the report will center on</w:t>
      </w:r>
      <w:r>
        <w:t xml:space="preserve"> </w:t>
      </w:r>
      <w:r>
        <w:rPr>
          <w:b/>
          <w:bCs/>
        </w:rPr>
        <w:t xml:space="preserve">how much of that strength reaches shareholders in 2026 versus being reinvested for 2027 and beyond</w:t>
      </w:r>
      <w:r>
        <w:t xml:space="preserve">. At roughly 19x the current EPS guidance midpoint, AXP does not need a spectacular quarter, but it does need a high-quality one. Sustained spending, stable retention and clean credit would matter more than a small EPS beat produced by taxes or one-time items.</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2026-07-24T00:08:22Z</dcterms:created>
  <dcterms:modified xsi:type="dcterms:W3CDTF">2026-07-24T00:08:22Z</dcterms:modified>
</cp:coreProperties>
</file>

<file path=docProps/custom.xml><?xml version="1.0" encoding="utf-8"?>
<Properties xmlns="http://schemas.openxmlformats.org/officeDocument/2006/custom-properties" xmlns:vt="http://schemas.openxmlformats.org/officeDocument/2006/docPropsVTypes"/>
</file>