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~$4.52 vs. cons $4.41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revenue, net of interest expense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~$19.82B vs. cons $19.70B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Billed business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~$450.5B vs. cons $448.0B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~9.0%-10.0% vs. cons 9.6%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17.30</m:t>
              </m:r>
              <m:r>
                <m:rPr>
                  <m:sty m:val="p"/>
                </m:rPr>
                <m:t>−</m:t>
              </m:r>
            </m:oMath>
            <w:r>
              <w:t xml:space="preserve">17.90 vs. cons $17.72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Variable customer-engagement costs as a percent of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~44.0% vs. cons 44.0%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A modest ~$4.52 vs.</w:t>
            </w:r>
            <w:r>
              <w:t xml:space="preserve"> </w:t>
            </w:r>
            <m:oMath>
              <m:r>
                <m:t>4.41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b</m:t>
              </m:r>
              <m:r>
                <m:t>e</m:t>
              </m:r>
              <m:r>
                <m:t>n</m:t>
              </m:r>
              <m:r>
                <m:t>i</m:t>
              </m:r>
              <m:r>
                <m:t>g</m:t>
              </m:r>
              <m:r>
                <m:t>n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e</m:t>
              </m:r>
              <m:r>
                <m:t>d</m:t>
              </m:r>
              <m:r>
                <m:t>c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0.5</m:t>
              </m:r>
            </m:oMath>
            <w:r>
              <w:t xml:space="preserve">17.60 FY26 EPS midpoint versus ~$17.72 consensus leaves implicit out-period math below expectations as elevated Platinum-benefit, marketing, and technology investment absorbs the beat; estimate revisions should turn modestly negative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2026-07-24T00:07:19Z</dcterms:created>
  <dcterms:modified xsi:type="dcterms:W3CDTF">2026-07-24T00:07:19Z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