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Express Company (AXP) — Q2 2026 Earnings Preview</w:t>
      </w:r>
    </w:p>
    <w:p>
      <w:r>
        <w:rPr>
          <w:rFonts w:ascii="Calibri" w:hAnsi="Calibri"/>
          <w:b/>
          <w:color w:val="525866"/>
          <w:sz w:val="22"/>
        </w:rPr>
        <w:t xml:space="preserve">Ticker: </w:t>
      </w:r>
      <w:r>
        <w:rPr>
          <w:rFonts w:ascii="Calibri" w:hAnsi="Calibri"/>
          <w:color w:val="525866"/>
          <w:sz w:val="22"/>
        </w:rPr>
        <w:t xml:space="preserve">AXP   </w:t>
      </w:r>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Earnings Date: </w:t>
      </w:r>
      <w:r>
        <w:rPr>
          <w:rFonts w:ascii="Calibri" w:hAnsi="Calibri"/>
          <w:color w:val="525866"/>
          <w:sz w:val="22"/>
        </w:rPr>
        <w:t xml:space="preserve">July 18, 2026   </w:t>
      </w:r>
      <w:r>
        <w:rPr>
          <w:rFonts w:ascii="Calibri" w:hAnsi="Calibri"/>
          <w:b/>
          <w:color w:val="525866"/>
          <w:sz w:val="22"/>
        </w:rPr>
        <w:t xml:space="preserve">Prepared: </w:t>
      </w:r>
      <w:r>
        <w:rPr>
          <w:rFonts w:ascii="Calibri" w:hAnsi="Calibri"/>
          <w:color w:val="525866"/>
          <w:sz w:val="22"/>
        </w:rPr>
        <w:t>July 23,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on billed business and net card fees, with the single biggest swing factor being whether Q2 spend growth sustained its Q1 momentum above 10% despite the Amazon/Lowe’s co-brand drag and any residual Middle East travel softness.</w:t>
      </w:r>
    </w:p>
    <w:p>
      <w:r>
        <w:rPr>
          <w:rFonts w:ascii="Calibri" w:hAnsi="Calibri"/>
          <w:color w:val="525866"/>
          <w:sz w:val="22"/>
        </w:rPr>
        <w:t xml:space="preserve">Heading into Q2 2026, the bar for AXP is firm but not stretched: consensus expects </w:t>
      </w:r>
      <w:r>
        <w:rPr>
          <w:rFonts w:ascii="Calibri" w:hAnsi="Calibri"/>
          <w:b/>
          <w:color w:val="525866"/>
          <w:sz w:val="22"/>
        </w:rPr>
        <w:t>operating EPS of ~$4.41</w:t>
      </w:r>
      <w:r>
        <w:rPr>
          <w:rFonts w:ascii="Calibri" w:hAnsi="Calibri"/>
          <w:color w:val="525866"/>
          <w:sz w:val="22"/>
        </w:rPr>
        <w:t xml:space="preserve"> (up ~8% YoY) and </w:t>
      </w:r>
      <w:r>
        <w:rPr>
          <w:rFonts w:ascii="Calibri" w:hAnsi="Calibri"/>
          <w:b/>
          <w:color w:val="525866"/>
          <w:sz w:val="22"/>
        </w:rPr>
        <w:t>revenue of ~$19.7B</w:t>
      </w:r>
      <w:r>
        <w:rPr>
          <w:rFonts w:ascii="Calibri" w:hAnsi="Calibri"/>
          <w:color w:val="525866"/>
          <w:sz w:val="22"/>
        </w:rPr>
        <w:t xml:space="preserve"> (up ~10% YoY), both broadly in line with management’s reaffirmed full-year guidance of 9–10% revenue growth and $17.30–$17.90 EPS. Management’s tone at the May 28 Bernstein conference was notably constructive — Q2 quarter-to-date billed business was running </w:t>
      </w:r>
      <w:r>
        <w:rPr>
          <w:rFonts w:ascii="Calibri" w:hAnsi="Calibri"/>
          <w:b/>
          <w:color w:val="525866"/>
          <w:sz w:val="22"/>
        </w:rPr>
        <w:t>slightly ahead of Q1’s three-year-high 10% growth</w:t>
      </w:r>
      <w:r>
        <w:rPr>
          <w:rFonts w:ascii="Calibri" w:hAnsi="Calibri"/>
          <w:color w:val="525866"/>
          <w:sz w:val="22"/>
        </w:rPr>
        <w:t xml:space="preserve">, airline spending had recovered to strong growth in April after late-March softness, and credit metrics remained stable — signaling that the reinvestment-over-flow-through posture from Q1 is a feature, not a bug. Estimate revisions have been essentially flat since the Q1 print (EPS consensus for Q2 moved from $4.44 to $4.41, a rounding-level drift), suggesting the street has already absorbed the co-brand portfolio exits and incremental marketing spend guidance, leaving little embedded cushion but also no elevated bar. The stock has rallied ~7% since the Q1 print versus ~4% for the S&amp;P 500 and ~8% for XLF, implying the market has partially priced in continued execution but has not yet awarded a full re-rating — the multiple remains earnings-delivery dependent. The key wildcard is </w:t>
      </w:r>
      <w:r>
        <w:rPr>
          <w:rFonts w:ascii="Calibri" w:hAnsi="Calibri"/>
          <w:b/>
          <w:color w:val="525866"/>
          <w:sz w:val="22"/>
        </w:rPr>
        <w:t>net card fee trajectory</w:t>
      </w:r>
      <w:r>
        <w:rPr>
          <w:rFonts w:ascii="Calibri" w:hAnsi="Calibri"/>
          <w:color w:val="525866"/>
          <w:sz w:val="22"/>
        </w:rPr>
        <w:t>: if the Platinum refresh back-book repricing is accelerating toward the guided “high-teens” exit rate, it could drive a meaningful upside surprise on the fastest-growing revenue line and reset the full-year fee outlook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represents a moderate bar — not stretched, not easy. </w:t>
      </w:r>
      <w:r>
        <w:rPr>
          <w:rFonts w:ascii="Calibri" w:hAnsi="Calibri"/>
          <w:b/>
          <w:color w:val="525866"/>
          <w:sz w:val="22"/>
        </w:rPr>
        <w:t>Net card fees</w:t>
      </w:r>
      <w:r>
        <w:rPr>
          <w:rFonts w:ascii="Calibri" w:hAnsi="Calibri"/>
          <w:color w:val="525866"/>
          <w:sz w:val="22"/>
        </w:rPr>
        <w:t xml:space="preserve"> is the bigger swing factor: any acceleration toward the guided high-teens exit rate would be a positive catalyst, while </w:t>
      </w:r>
      <w:r>
        <w:rPr>
          <w:rFonts w:ascii="Calibri" w:hAnsi="Calibri"/>
          <w:b/>
          <w:color w:val="525866"/>
          <w:sz w:val="22"/>
        </w:rPr>
        <w:t>billed business growth</w:t>
      </w:r>
      <w:r>
        <w:rPr>
          <w:rFonts w:ascii="Calibri" w:hAnsi="Calibri"/>
          <w:color w:val="525866"/>
          <w:sz w:val="22"/>
        </w:rPr>
        <w:t xml:space="preserve"> is the volume read-through that sets the tone for the full-year revenue guide.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(net of interest expense)</w:t>
            </w:r>
          </w:p>
        </w:tc>
        <w:tc>
          <w:tcPr>
            <w:tcW w:type="dxa" w:w="1234"/>
          </w:tcPr>
          <w:p>
            <w:r>
              <w:rPr>
                <w:rFonts w:ascii="Calibri" w:hAnsi="Calibri"/>
                <w:sz w:val="22"/>
              </w:rPr>
              <w:t>$18.91B</w:t>
            </w:r>
          </w:p>
        </w:tc>
        <w:tc>
          <w:tcPr>
            <w:tcW w:type="dxa" w:w="1234"/>
          </w:tcPr>
          <w:p>
            <w:r>
              <w:rPr>
                <w:rFonts w:ascii="Calibri" w:hAnsi="Calibri"/>
                <w:sz w:val="22"/>
              </w:rPr>
              <w:t>$17.86B</w:t>
            </w:r>
          </w:p>
        </w:tc>
        <w:tc>
          <w:tcPr>
            <w:tcW w:type="dxa" w:w="1234"/>
          </w:tcPr>
          <w:p>
            <w:r>
              <w:rPr>
                <w:rFonts w:ascii="Calibri" w:hAnsi="Calibri"/>
                <w:sz w:val="22"/>
              </w:rPr>
              <w:t>$19.75B</w:t>
            </w:r>
          </w:p>
        </w:tc>
        <w:tc>
          <w:tcPr>
            <w:tcW w:type="dxa" w:w="1234"/>
          </w:tcPr>
          <w:p>
            <w:r>
              <w:rPr>
                <w:rFonts w:ascii="Calibri" w:hAnsi="Calibri"/>
                <w:sz w:val="22"/>
              </w:rPr>
              <w:t>+10.6%</w:t>
            </w:r>
          </w:p>
        </w:tc>
        <w:tc>
          <w:tcPr>
            <w:tcW w:type="dxa" w:w="1234"/>
          </w:tcPr>
          <w:p>
            <w:r>
              <w:rPr>
                <w:rFonts w:ascii="Calibri" w:hAnsi="Calibri"/>
                <w:sz w:val="22"/>
              </w:rPr>
              <w:t>9–10% growth (FY)</w:t>
            </w:r>
          </w:p>
        </w:tc>
        <w:tc>
          <w:tcPr>
            <w:tcW w:type="dxa" w:w="1234"/>
          </w:tcPr>
          <w:p>
            <w:r>
              <w:rPr>
                <w:rFonts w:ascii="Calibri" w:hAnsi="Calibri"/>
                <w:sz w:val="22"/>
              </w:rPr>
              <w:t>~+10% vs. FY midpoint; in line</w:t>
            </w:r>
          </w:p>
        </w:tc>
      </w:tr>
      <w:tr>
        <w:tc>
          <w:tcPr>
            <w:tcW w:type="dxa" w:w="1234"/>
          </w:tcPr>
          <w:p>
            <w:r>
              <w:rPr>
                <w:rFonts w:ascii="Calibri" w:hAnsi="Calibri"/>
                <w:sz w:val="22"/>
              </w:rPr>
              <w:t>Diluted EPS — Operating</w:t>
            </w:r>
          </w:p>
        </w:tc>
        <w:tc>
          <w:tcPr>
            <w:tcW w:type="dxa" w:w="1234"/>
          </w:tcPr>
          <w:p>
            <w:r>
              <w:rPr>
                <w:rFonts w:ascii="Calibri" w:hAnsi="Calibri"/>
                <w:sz w:val="22"/>
              </w:rPr>
              <w:t>$4.28</w:t>
            </w:r>
          </w:p>
        </w:tc>
        <w:tc>
          <w:tcPr>
            <w:tcW w:type="dxa" w:w="1234"/>
          </w:tcPr>
          <w:p>
            <w:r>
              <w:rPr>
                <w:rFonts w:ascii="Calibri" w:hAnsi="Calibri"/>
                <w:sz w:val="22"/>
              </w:rPr>
              <w:t>$4.08</w:t>
            </w:r>
          </w:p>
        </w:tc>
        <w:tc>
          <w:tcPr>
            <w:tcW w:type="dxa" w:w="1234"/>
          </w:tcPr>
          <w:p>
            <w:r>
              <w:rPr>
                <w:rFonts w:ascii="Calibri" w:hAnsi="Calibri"/>
                <w:sz w:val="22"/>
              </w:rPr>
              <w:t>$4.41</w:t>
            </w:r>
          </w:p>
        </w:tc>
        <w:tc>
          <w:tcPr>
            <w:tcW w:type="dxa" w:w="1234"/>
          </w:tcPr>
          <w:p>
            <w:r>
              <w:rPr>
                <w:rFonts w:ascii="Calibri" w:hAnsi="Calibri"/>
                <w:sz w:val="22"/>
              </w:rPr>
              <w:t>+8.1%</w:t>
            </w:r>
          </w:p>
        </w:tc>
        <w:tc>
          <w:tcPr>
            <w:tcW w:type="dxa" w:w="1234"/>
          </w:tcPr>
          <w:p>
            <w:r>
              <w:rPr>
                <w:rFonts w:ascii="Calibri" w:hAnsi="Calibri"/>
                <w:sz w:val="22"/>
              </w:rPr>
              <w:t>$17.30–$17.90 (FY)</w:t>
            </w:r>
          </w:p>
        </w:tc>
        <w:tc>
          <w:tcPr>
            <w:tcW w:type="dxa" w:w="1234"/>
          </w:tcPr>
          <w:p>
            <w:r>
              <w:rPr>
                <w:rFonts w:ascii="Calibri" w:hAnsi="Calibri"/>
                <w:sz w:val="22"/>
              </w:rPr>
              <w:t>~+0.3% vs. midpoint ($17.60); in line</w:t>
            </w:r>
          </w:p>
        </w:tc>
      </w:tr>
      <w:tr>
        <w:tc>
          <w:tcPr>
            <w:tcW w:type="dxa" w:w="1234"/>
          </w:tcPr>
          <w:p>
            <w:r>
              <w:rPr>
                <w:rFonts w:ascii="Calibri" w:hAnsi="Calibri"/>
                <w:sz w:val="22"/>
              </w:rPr>
              <w:t>Billed Business</w:t>
            </w:r>
          </w:p>
        </w:tc>
        <w:tc>
          <w:tcPr>
            <w:tcW w:type="dxa" w:w="1234"/>
          </w:tcPr>
          <w:p>
            <w:r>
              <w:rPr>
                <w:rFonts w:ascii="Calibri" w:hAnsi="Calibri"/>
                <w:sz w:val="22"/>
              </w:rPr>
              <w:t>$428.0B</w:t>
            </w:r>
          </w:p>
        </w:tc>
        <w:tc>
          <w:tcPr>
            <w:tcW w:type="dxa" w:w="1234"/>
          </w:tcPr>
          <w:p>
            <w:r>
              <w:rPr>
                <w:rFonts w:ascii="Calibri" w:hAnsi="Calibri"/>
                <w:sz w:val="22"/>
              </w:rPr>
              <w:t>$416.3B</w:t>
            </w:r>
          </w:p>
        </w:tc>
        <w:tc>
          <w:tcPr>
            <w:tcW w:type="dxa" w:w="1234"/>
          </w:tcPr>
          <w:p>
            <w:r>
              <w:rPr>
                <w:rFonts w:ascii="Calibri" w:hAnsi="Calibri"/>
                <w:sz w:val="22"/>
              </w:rPr>
              <w:t>$455.7B</w:t>
            </w:r>
          </w:p>
        </w:tc>
        <w:tc>
          <w:tcPr>
            <w:tcW w:type="dxa" w:w="1234"/>
          </w:tcPr>
          <w:p>
            <w:r>
              <w:rPr>
                <w:rFonts w:ascii="Calibri" w:hAnsi="Calibri"/>
                <w:sz w:val="22"/>
              </w:rPr>
              <w:t>+9.5%</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Net Card Fees</w:t>
            </w:r>
          </w:p>
        </w:tc>
        <w:tc>
          <w:tcPr>
            <w:tcW w:type="dxa" w:w="1234"/>
          </w:tcPr>
          <w:p>
            <w:r>
              <w:rPr>
                <w:rFonts w:ascii="Calibri" w:hAnsi="Calibri"/>
                <w:sz w:val="22"/>
              </w:rPr>
              <w:t>$2.752B</w:t>
            </w:r>
          </w:p>
        </w:tc>
        <w:tc>
          <w:tcPr>
            <w:tcW w:type="dxa" w:w="1234"/>
          </w:tcPr>
          <w:p>
            <w:r>
              <w:rPr>
                <w:rFonts w:ascii="Calibri" w:hAnsi="Calibri"/>
                <w:sz w:val="22"/>
              </w:rPr>
              <w:t>$2.480B</w:t>
            </w:r>
          </w:p>
        </w:tc>
        <w:tc>
          <w:tcPr>
            <w:tcW w:type="dxa" w:w="1234"/>
          </w:tcPr>
          <w:p>
            <w:r>
              <w:rPr>
                <w:rFonts w:ascii="Calibri" w:hAnsi="Calibri"/>
                <w:sz w:val="22"/>
              </w:rPr>
              <w:t>$2.901B</w:t>
            </w:r>
          </w:p>
        </w:tc>
        <w:tc>
          <w:tcPr>
            <w:tcW w:type="dxa" w:w="1234"/>
          </w:tcPr>
          <w:p>
            <w:r>
              <w:rPr>
                <w:rFonts w:ascii="Calibri" w:hAnsi="Calibri"/>
                <w:sz w:val="22"/>
              </w:rPr>
              <w:t>+17.0%</w:t>
            </w:r>
          </w:p>
        </w:tc>
        <w:tc>
          <w:tcPr>
            <w:tcW w:type="dxa" w:w="1234"/>
          </w:tcPr>
          <w:p>
            <w:r>
              <w:rPr>
                <w:rFonts w:ascii="Calibri" w:hAnsi="Calibri"/>
                <w:sz w:val="22"/>
              </w:rPr>
              <w:t>Exit 2026 in high-teens growth</w:t>
            </w:r>
          </w:p>
        </w:tc>
        <w:tc>
          <w:tcPr>
            <w:tcW w:type="dxa" w:w="1234"/>
          </w:tcPr>
          <w:p>
            <w:r>
              <w:rPr>
                <w:rFonts w:ascii="Calibri" w:hAnsi="Calibri"/>
                <w:sz w:val="22"/>
              </w:rPr>
              <w:t>On track; ~17% YoY in line with trajectory</w:t>
            </w:r>
          </w:p>
        </w:tc>
      </w:tr>
      <w:tr>
        <w:tc>
          <w:tcPr>
            <w:tcW w:type="dxa" w:w="1234"/>
          </w:tcPr>
          <w:p>
            <w:r>
              <w:rPr>
                <w:rFonts w:ascii="Calibri" w:hAnsi="Calibri"/>
                <w:sz w:val="22"/>
              </w:rPr>
              <w:t>Net Interest Income</w:t>
            </w:r>
          </w:p>
        </w:tc>
        <w:tc>
          <w:tcPr>
            <w:tcW w:type="dxa" w:w="1234"/>
          </w:tcPr>
          <w:p>
            <w:r>
              <w:rPr>
                <w:rFonts w:ascii="Calibri" w:hAnsi="Calibri"/>
                <w:sz w:val="22"/>
              </w:rPr>
              <w:t>$4.692B</w:t>
            </w:r>
          </w:p>
        </w:tc>
        <w:tc>
          <w:tcPr>
            <w:tcW w:type="dxa" w:w="1234"/>
          </w:tcPr>
          <w:p>
            <w:r>
              <w:rPr>
                <w:rFonts w:ascii="Calibri" w:hAnsi="Calibri"/>
                <w:sz w:val="22"/>
              </w:rPr>
              <w:t>$4.187B</w:t>
            </w:r>
          </w:p>
        </w:tc>
        <w:tc>
          <w:tcPr>
            <w:tcW w:type="dxa" w:w="1234"/>
          </w:tcPr>
          <w:p>
            <w:r>
              <w:rPr>
                <w:rFonts w:ascii="Calibri" w:hAnsi="Calibri"/>
                <w:sz w:val="22"/>
              </w:rPr>
              <w:t>$4.682B</w:t>
            </w:r>
          </w:p>
        </w:tc>
        <w:tc>
          <w:tcPr>
            <w:tcW w:type="dxa" w:w="1234"/>
          </w:tcPr>
          <w:p>
            <w:r>
              <w:rPr>
                <w:rFonts w:ascii="Calibri" w:hAnsi="Calibri"/>
                <w:sz w:val="22"/>
              </w:rPr>
              <w:t>+11.8%</w:t>
            </w:r>
          </w:p>
        </w:tc>
        <w:tc>
          <w:tcPr>
            <w:tcW w:type="dxa" w:w="1234"/>
          </w:tcPr>
          <w:p>
            <w:r>
              <w:rPr>
                <w:rFonts w:ascii="Calibri" w:hAnsi="Calibri"/>
                <w:sz w:val="22"/>
              </w:rPr>
              <w:t>Grow faster than balances (FY)</w:t>
            </w:r>
          </w:p>
        </w:tc>
        <w:tc>
          <w:tcPr>
            <w:tcW w:type="dxa" w:w="1234"/>
          </w:tcPr>
          <w:p>
            <w:r>
              <w:rPr>
                <w:rFonts w:ascii="Calibri" w:hAnsi="Calibri"/>
                <w:sz w:val="22"/>
              </w:rPr>
              <w:t>In line with guidance</w:t>
            </w:r>
          </w:p>
        </w:tc>
      </w:tr>
      <w:tr>
        <w:tc>
          <w:tcPr>
            <w:tcW w:type="dxa" w:w="1234"/>
          </w:tcPr>
          <w:p>
            <w:r>
              <w:rPr>
                <w:rFonts w:ascii="Calibri" w:hAnsi="Calibri"/>
                <w:sz w:val="22"/>
              </w:rPr>
              <w:t>Provisions for Losses</w:t>
            </w:r>
          </w:p>
        </w:tc>
        <w:tc>
          <w:tcPr>
            <w:tcW w:type="dxa" w:w="1234"/>
          </w:tcPr>
          <w:p>
            <w:r>
              <w:rPr>
                <w:rFonts w:ascii="Calibri" w:hAnsi="Calibri"/>
                <w:sz w:val="22"/>
              </w:rPr>
              <w:t>$1.275B</w:t>
            </w:r>
          </w:p>
        </w:tc>
        <w:tc>
          <w:tcPr>
            <w:tcW w:type="dxa" w:w="1234"/>
          </w:tcPr>
          <w:p>
            <w:r>
              <w:rPr>
                <w:rFonts w:ascii="Calibri" w:hAnsi="Calibri"/>
                <w:sz w:val="22"/>
              </w:rPr>
              <w:t>$1.405B</w:t>
            </w:r>
          </w:p>
        </w:tc>
        <w:tc>
          <w:tcPr>
            <w:tcW w:type="dxa" w:w="1234"/>
          </w:tcPr>
          <w:p>
            <w:r>
              <w:rPr>
                <w:rFonts w:ascii="Calibri" w:hAnsi="Calibri"/>
                <w:sz w:val="22"/>
              </w:rPr>
              <w:t>$1.371B</w:t>
            </w:r>
          </w:p>
        </w:tc>
        <w:tc>
          <w:tcPr>
            <w:tcW w:type="dxa" w:w="1234"/>
          </w:tcPr>
          <w:p>
            <w:r>
              <w:rPr>
                <w:rFonts w:ascii="Calibri" w:hAnsi="Calibri"/>
                <w:sz w:val="22"/>
              </w:rPr>
              <w:t>-2.4%</w:t>
            </w:r>
          </w:p>
        </w:tc>
        <w:tc>
          <w:tcPr>
            <w:tcW w:type="dxa" w:w="1234"/>
          </w:tcPr>
          <w:p>
            <w:r>
              <w:rPr>
                <w:rFonts w:ascii="Calibri" w:hAnsi="Calibri"/>
                <w:sz w:val="22"/>
              </w:rPr>
              <w:t>Stable credit metrics (FY)</w:t>
            </w:r>
          </w:p>
        </w:tc>
        <w:tc>
          <w:tcPr>
            <w:tcW w:type="dxa" w:w="1234"/>
          </w:tcPr>
          <w:p>
            <w:r>
              <w:rPr>
                <w:rFonts w:ascii="Calibri" w:hAnsi="Calibri"/>
                <w:sz w:val="22"/>
              </w:rPr>
              <w:t>In line; slight YoY improvement</w:t>
            </w:r>
          </w:p>
        </w:tc>
      </w:tr>
      <w:tr>
        <w:tc>
          <w:tcPr>
            <w:tcW w:type="dxa" w:w="1234"/>
          </w:tcPr>
          <w:p>
            <w:r>
              <w:rPr>
                <w:rFonts w:ascii="Calibri" w:hAnsi="Calibri"/>
                <w:sz w:val="22"/>
              </w:rPr>
              <w:t>Total Expenses</w:t>
            </w:r>
          </w:p>
        </w:tc>
        <w:tc>
          <w:tcPr>
            <w:tcW w:type="dxa" w:w="1234"/>
          </w:tcPr>
          <w:p>
            <w:r>
              <w:rPr>
                <w:rFonts w:ascii="Calibri" w:hAnsi="Calibri"/>
                <w:sz w:val="22"/>
              </w:rPr>
              <w:t>$13.878B</w:t>
            </w:r>
          </w:p>
        </w:tc>
        <w:tc>
          <w:tcPr>
            <w:tcW w:type="dxa" w:w="1234"/>
          </w:tcPr>
          <w:p>
            <w:r>
              <w:rPr>
                <w:rFonts w:ascii="Calibri" w:hAnsi="Calibri"/>
                <w:sz w:val="22"/>
              </w:rPr>
              <w:t>$12.901B</w:t>
            </w:r>
          </w:p>
        </w:tc>
        <w:tc>
          <w:tcPr>
            <w:tcW w:type="dxa" w:w="1234"/>
          </w:tcPr>
          <w:p>
            <w:r>
              <w:rPr>
                <w:rFonts w:ascii="Calibri" w:hAnsi="Calibri"/>
                <w:sz w:val="22"/>
              </w:rPr>
              <w:t>$14.441B</w:t>
            </w:r>
          </w:p>
        </w:tc>
        <w:tc>
          <w:tcPr>
            <w:tcW w:type="dxa" w:w="1234"/>
          </w:tcPr>
          <w:p>
            <w:r>
              <w:rPr>
                <w:rFonts w:ascii="Calibri" w:hAnsi="Calibri"/>
                <w:sz w:val="22"/>
              </w:rPr>
              <w:t>+11.9%</w:t>
            </w:r>
          </w:p>
        </w:tc>
        <w:tc>
          <w:tcPr>
            <w:tcW w:type="dxa" w:w="1234"/>
          </w:tcPr>
          <w:p>
            <w:r>
              <w:rPr>
                <w:rFonts w:ascii="Calibri" w:hAnsi="Calibri"/>
                <w:sz w:val="22"/>
              </w:rPr>
              <w:t>Marketing mid-single digit growth (FY)</w:t>
            </w:r>
          </w:p>
        </w:tc>
        <w:tc>
          <w:tcPr>
            <w:tcW w:type="dxa" w:w="1234"/>
          </w:tcPr>
          <w:p>
            <w:r>
              <w:rPr>
                <w:rFonts w:ascii="Calibri" w:hAnsi="Calibri"/>
                <w:sz w:val="22"/>
              </w:rPr>
              <w:t>Slightly above; reflects reinvestment posture</w:t>
            </w:r>
          </w:p>
        </w:tc>
      </w:tr>
      <w:tr>
        <w:tc>
          <w:tcPr>
            <w:tcW w:type="dxa" w:w="1234"/>
          </w:tcPr>
          <w:p>
            <w:r>
              <w:rPr>
                <w:rFonts w:ascii="Calibri" w:hAnsi="Calibri"/>
                <w:sz w:val="22"/>
              </w:rPr>
              <w:t>USCS Net Write-Off Rate (principal only)</w:t>
            </w:r>
          </w:p>
        </w:tc>
        <w:tc>
          <w:tcPr>
            <w:tcW w:type="dxa" w:w="1234"/>
          </w:tcPr>
          <w:p>
            <w:r>
              <w:rPr>
                <w:rFonts w:ascii="Calibri" w:hAnsi="Calibri"/>
                <w:sz w:val="22"/>
              </w:rPr>
              <w:t>1.9%</w:t>
            </w:r>
          </w:p>
        </w:tc>
        <w:tc>
          <w:tcPr>
            <w:tcW w:type="dxa" w:w="1234"/>
          </w:tcPr>
          <w:p>
            <w:r>
              <w:rPr>
                <w:rFonts w:ascii="Calibri" w:hAnsi="Calibri"/>
                <w:sz w:val="22"/>
              </w:rPr>
              <w:t>1.9%</w:t>
            </w:r>
          </w:p>
        </w:tc>
        <w:tc>
          <w:tcPr>
            <w:tcW w:type="dxa" w:w="1234"/>
          </w:tcPr>
          <w:p>
            <w:r>
              <w:rPr>
                <w:rFonts w:ascii="Calibri" w:hAnsi="Calibri"/>
                <w:sz w:val="22"/>
              </w:rPr>
              <w:t>2.05%</w:t>
            </w:r>
          </w:p>
        </w:tc>
        <w:tc>
          <w:tcPr>
            <w:tcW w:type="dxa" w:w="1234"/>
          </w:tcPr>
          <w:p>
            <w:r>
              <w:rPr>
                <w:rFonts w:ascii="Calibri" w:hAnsi="Calibri"/>
                <w:sz w:val="22"/>
              </w:rPr>
              <w:t>Flat YoY</w:t>
            </w:r>
          </w:p>
        </w:tc>
        <w:tc>
          <w:tcPr>
            <w:tcW w:type="dxa" w:w="1234"/>
          </w:tcPr>
          <w:p>
            <w:r>
              <w:rPr>
                <w:rFonts w:ascii="Calibri" w:hAnsi="Calibri"/>
                <w:sz w:val="22"/>
              </w:rPr>
              <w:t>Stable credit metrics (FY)</w:t>
            </w:r>
          </w:p>
        </w:tc>
        <w:tc>
          <w:tcPr>
            <w:tcW w:type="dxa" w:w="1234"/>
          </w:tcPr>
          <w:p>
            <w:r>
              <w:rPr>
                <w:rFonts w:ascii="Calibri" w:hAnsi="Calibri"/>
                <w:sz w:val="22"/>
              </w:rPr>
              <w:t>In line; slight seasonal uptick expected</w:t>
            </w:r>
          </w:p>
        </w:tc>
      </w:tr>
    </w:tbl>
    <w:p>
      <w:r>
        <w:rPr>
          <w:rFonts w:ascii="Calibri" w:hAnsi="Calibri"/>
          <w:color w:val="525866"/>
          <w:sz w:val="22"/>
        </w:rPr>
        <w:t>Source: Visible Alpha consensus and actuals data. All consensus figures as of latest available (July 2026). Guidance from Q1 2026 earnings call (April 23, 2026).</w:t>
      </w:r>
    </w:p>
    <w:p>
      <w:pPr>
        <w:pStyle w:val="Heading3"/>
      </w:pPr>
      <w:r>
        <w:rPr>
          <w:rFonts w:ascii="Calibri" w:hAnsi="Calibri"/>
          <w:b/>
          <w:color w:val="3B4259"/>
          <w:sz w:val="24"/>
        </w:rPr>
        <w:t>Table 2 — Beat / Miss History (Last 8 Quarters, Top 2 KPIs)</w:t>
      </w:r>
    </w:p>
    <w:p>
      <w:r>
        <w:rPr>
          <w:rFonts w:ascii="Calibri" w:hAnsi="Calibri"/>
          <w:b/>
          <w:color w:val="525866"/>
          <w:sz w:val="22"/>
        </w:rPr>
        <w:t>Top KPI #1: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$3.49</w:t>
            </w:r>
          </w:p>
        </w:tc>
        <w:tc>
          <w:tcPr>
            <w:tcW w:type="dxa" w:w="1728"/>
          </w:tcPr>
          <w:p>
            <w:r>
              <w:rPr>
                <w:rFonts w:ascii="Calibri" w:hAnsi="Calibri"/>
                <w:sz w:val="22"/>
              </w:rPr>
              <w:t>$3.25</w:t>
            </w:r>
          </w:p>
        </w:tc>
        <w:tc>
          <w:tcPr>
            <w:tcW w:type="dxa" w:w="1728"/>
          </w:tcPr>
          <w:p>
            <w:r>
              <w:rPr>
                <w:rFonts w:ascii="Calibri" w:hAnsi="Calibri"/>
                <w:b/>
                <w:color w:val="30A46C"/>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$3.49</w:t>
            </w:r>
          </w:p>
        </w:tc>
        <w:tc>
          <w:tcPr>
            <w:tcW w:type="dxa" w:w="1728"/>
          </w:tcPr>
          <w:p>
            <w:r>
              <w:rPr>
                <w:rFonts w:ascii="Calibri" w:hAnsi="Calibri"/>
                <w:sz w:val="22"/>
              </w:rPr>
              <w:t>$3.30</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$3.04</w:t>
            </w:r>
          </w:p>
        </w:tc>
        <w:tc>
          <w:tcPr>
            <w:tcW w:type="dxa" w:w="1728"/>
          </w:tcPr>
          <w:p>
            <w:r>
              <w:rPr>
                <w:rFonts w:ascii="Calibri" w:hAnsi="Calibri"/>
                <w:sz w:val="22"/>
              </w:rPr>
              <w:t>$3.05</w:t>
            </w:r>
          </w:p>
        </w:tc>
        <w:tc>
          <w:tcPr>
            <w:tcW w:type="dxa" w:w="1728"/>
          </w:tcPr>
          <w:p>
            <w:r>
              <w:rPr>
                <w:rFonts w:ascii="Calibri" w:hAnsi="Calibri"/>
                <w:b/>
                <w:color w:val="E5484D"/>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$3.64</w:t>
            </w:r>
          </w:p>
        </w:tc>
        <w:tc>
          <w:tcPr>
            <w:tcW w:type="dxa" w:w="1728"/>
          </w:tcPr>
          <w:p>
            <w:r>
              <w:rPr>
                <w:rFonts w:ascii="Calibri" w:hAnsi="Calibri"/>
                <w:sz w:val="22"/>
              </w:rPr>
              <w:t>$3.43</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$4.08</w:t>
            </w:r>
          </w:p>
        </w:tc>
        <w:tc>
          <w:tcPr>
            <w:tcW w:type="dxa" w:w="1728"/>
          </w:tcPr>
          <w:p>
            <w:r>
              <w:rPr>
                <w:rFonts w:ascii="Calibri" w:hAnsi="Calibri"/>
                <w:sz w:val="22"/>
              </w:rPr>
              <w:t>$3.90</w:t>
            </w:r>
          </w:p>
        </w:tc>
        <w:tc>
          <w:tcPr>
            <w:tcW w:type="dxa" w:w="1728"/>
          </w:tcPr>
          <w:p>
            <w:r>
              <w:rPr>
                <w:rFonts w:ascii="Calibri" w:hAnsi="Calibri"/>
                <w:b/>
                <w:color w:val="30A46C"/>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$4.14</w:t>
            </w:r>
          </w:p>
        </w:tc>
        <w:tc>
          <w:tcPr>
            <w:tcW w:type="dxa" w:w="1728"/>
          </w:tcPr>
          <w:p>
            <w:r>
              <w:rPr>
                <w:rFonts w:ascii="Calibri" w:hAnsi="Calibri"/>
                <w:sz w:val="22"/>
              </w:rPr>
              <w:t>$3.99</w:t>
            </w:r>
          </w:p>
        </w:tc>
        <w:tc>
          <w:tcPr>
            <w:tcW w:type="dxa" w:w="1728"/>
          </w:tcPr>
          <w:p>
            <w:r>
              <w:rPr>
                <w:rFonts w:ascii="Calibri" w:hAnsi="Calibri"/>
                <w:b/>
                <w:color w:val="30A46C"/>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$3.53</w:t>
            </w:r>
          </w:p>
        </w:tc>
        <w:tc>
          <w:tcPr>
            <w:tcW w:type="dxa" w:w="1728"/>
          </w:tcPr>
          <w:p>
            <w:r>
              <w:rPr>
                <w:rFonts w:ascii="Calibri" w:hAnsi="Calibri"/>
                <w:sz w:val="22"/>
              </w:rPr>
              <w:t>$3.53</w:t>
            </w:r>
          </w:p>
        </w:tc>
        <w:tc>
          <w:tcPr>
            <w:tcW w:type="dxa" w:w="1728"/>
          </w:tcPr>
          <w:p>
            <w:r>
              <w:rPr>
                <w:rFonts w:ascii="Calibri" w:hAnsi="Calibri"/>
                <w:sz w:val="22"/>
              </w:rPr>
              <w:t>+0.1%</w:t>
            </w:r>
          </w:p>
        </w:tc>
        <w:tc>
          <w:tcPr>
            <w:tcW w:type="dxa" w:w="1728"/>
          </w:tcPr>
          <w:p>
            <w:r>
              <w:rPr>
                <w:rFonts w:ascii="Calibri" w:hAnsi="Calibri"/>
                <w:sz w:val="22"/>
              </w:rPr>
              <w:t>In Line</w:t>
            </w:r>
          </w:p>
        </w:tc>
      </w:tr>
      <w:tr>
        <w:tc>
          <w:tcPr>
            <w:tcW w:type="dxa" w:w="1728"/>
          </w:tcPr>
          <w:p>
            <w:r>
              <w:rPr>
                <w:rFonts w:ascii="Calibri" w:hAnsi="Calibri"/>
                <w:sz w:val="22"/>
              </w:rPr>
              <w:t>Q1 2026</w:t>
            </w:r>
          </w:p>
        </w:tc>
        <w:tc>
          <w:tcPr>
            <w:tcW w:type="dxa" w:w="1728"/>
          </w:tcPr>
          <w:p>
            <w:r>
              <w:rPr>
                <w:rFonts w:ascii="Calibri" w:hAnsi="Calibri"/>
                <w:sz w:val="22"/>
              </w:rPr>
              <w:t>$4.28</w:t>
            </w:r>
          </w:p>
        </w:tc>
        <w:tc>
          <w:tcPr>
            <w:tcW w:type="dxa" w:w="1728"/>
          </w:tcPr>
          <w:p>
            <w:r>
              <w:rPr>
                <w:rFonts w:ascii="Calibri" w:hAnsi="Calibri"/>
                <w:sz w:val="22"/>
              </w:rPr>
              <w:t>$4.06</w:t>
            </w:r>
          </w:p>
        </w:tc>
        <w:tc>
          <w:tcPr>
            <w:tcW w:type="dxa" w:w="1728"/>
          </w:tcPr>
          <w:p>
            <w:r>
              <w:rPr>
                <w:rFonts w:ascii="Calibri" w:hAnsi="Calibri"/>
                <w:b/>
                <w:color w:val="30A46C"/>
                <w:sz w:val="22"/>
              </w:rPr>
              <w:t>+5.6%</w:t>
            </w:r>
          </w:p>
        </w:tc>
        <w:tc>
          <w:tcPr>
            <w:tcW w:type="dxa" w:w="1728"/>
          </w:tcPr>
          <w:p>
            <w:r>
              <w:rPr>
                <w:rFonts w:ascii="Calibri" w:hAnsi="Calibri"/>
                <w:b/>
                <w:color w:val="30A46C"/>
                <w:sz w:val="22"/>
              </w:rPr>
              <w:t>Beat</w:t>
            </w:r>
          </w:p>
        </w:tc>
      </w:tr>
    </w:tbl>
    <w:p>
      <w:r>
        <w:rPr>
          <w:rFonts w:ascii="Calibri" w:hAnsi="Calibri"/>
          <w:b/>
          <w:color w:val="525866"/>
          <w:sz w:val="22"/>
        </w:rPr>
        <w:t>Top KPI #2: Billed Business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$388.2</w:t>
            </w:r>
          </w:p>
        </w:tc>
        <w:tc>
          <w:tcPr>
            <w:tcW w:type="dxa" w:w="1728"/>
          </w:tcPr>
          <w:p>
            <w:r>
              <w:rPr>
                <w:rFonts w:ascii="Calibri" w:hAnsi="Calibri"/>
                <w:sz w:val="22"/>
              </w:rPr>
              <w:t>$390.5</w:t>
            </w:r>
          </w:p>
        </w:tc>
        <w:tc>
          <w:tcPr>
            <w:tcW w:type="dxa" w:w="1728"/>
          </w:tcPr>
          <w:p>
            <w:r>
              <w:rPr>
                <w:rFonts w:ascii="Calibri" w:hAnsi="Calibri"/>
                <w:b/>
                <w:color w:val="E5484D"/>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$387.3</w:t>
            </w:r>
          </w:p>
        </w:tc>
        <w:tc>
          <w:tcPr>
            <w:tcW w:type="dxa" w:w="1728"/>
          </w:tcPr>
          <w:p>
            <w:r>
              <w:rPr>
                <w:rFonts w:ascii="Calibri" w:hAnsi="Calibri"/>
                <w:sz w:val="22"/>
              </w:rPr>
              <w:t>$385.7</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$408.4</w:t>
            </w:r>
          </w:p>
        </w:tc>
        <w:tc>
          <w:tcPr>
            <w:tcW w:type="dxa" w:w="1728"/>
          </w:tcPr>
          <w:p>
            <w:r>
              <w:rPr>
                <w:rFonts w:ascii="Calibri" w:hAnsi="Calibri"/>
                <w:sz w:val="22"/>
              </w:rPr>
              <w:t>$402.9</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$387.4</w:t>
            </w:r>
          </w:p>
        </w:tc>
        <w:tc>
          <w:tcPr>
            <w:tcW w:type="dxa" w:w="1728"/>
          </w:tcPr>
          <w:p>
            <w:r>
              <w:rPr>
                <w:rFonts w:ascii="Calibri" w:hAnsi="Calibri"/>
                <w:sz w:val="22"/>
              </w:rPr>
              <w:t>$386.6</w:t>
            </w:r>
          </w:p>
        </w:tc>
        <w:tc>
          <w:tcPr>
            <w:tcW w:type="dxa" w:w="1728"/>
          </w:tcPr>
          <w:p>
            <w:r>
              <w:rPr>
                <w:rFonts w:ascii="Calibri" w:hAnsi="Calibri"/>
                <w:b/>
                <w:color w:val="30A46C"/>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$416.3</w:t>
            </w:r>
          </w:p>
        </w:tc>
        <w:tc>
          <w:tcPr>
            <w:tcW w:type="dxa" w:w="1728"/>
          </w:tcPr>
          <w:p>
            <w:r>
              <w:rPr>
                <w:rFonts w:ascii="Calibri" w:hAnsi="Calibri"/>
                <w:sz w:val="22"/>
              </w:rPr>
              <w:t>$413.3</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$421.0</w:t>
            </w:r>
          </w:p>
        </w:tc>
        <w:tc>
          <w:tcPr>
            <w:tcW w:type="dxa" w:w="1728"/>
          </w:tcPr>
          <w:p>
            <w:r>
              <w:rPr>
                <w:rFonts w:ascii="Calibri" w:hAnsi="Calibri"/>
                <w:sz w:val="22"/>
              </w:rPr>
              <w:t>$415.4</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$445.1</w:t>
            </w:r>
          </w:p>
        </w:tc>
        <w:tc>
          <w:tcPr>
            <w:tcW w:type="dxa" w:w="1728"/>
          </w:tcPr>
          <w:p>
            <w:r>
              <w:rPr>
                <w:rFonts w:ascii="Calibri" w:hAnsi="Calibri"/>
                <w:sz w:val="22"/>
              </w:rPr>
              <w:t>$442.5</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$428.0</w:t>
            </w:r>
          </w:p>
        </w:tc>
        <w:tc>
          <w:tcPr>
            <w:tcW w:type="dxa" w:w="1728"/>
          </w:tcPr>
          <w:p>
            <w:r>
              <w:rPr>
                <w:rFonts w:ascii="Calibri" w:hAnsi="Calibri"/>
                <w:sz w:val="22"/>
              </w:rPr>
              <w:t>$421.0</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AXP has beaten operating EPS consensus in 7 of the last 8 quarters, with an average beat of ~4–5%; billed business has beaten in 7 of 8 quarters, though by narrower margins (typically 0.5–1.5%), suggesting the volume bar is set more precisely by the street. The one EPS miss (Q4 2024) coincided with elevated seasonal expenses.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w:t>
      </w:r>
      <w:r>
        <w:rPr>
          <w:rFonts w:ascii="Calibri" w:hAnsi="Calibri"/>
          <w:b/>
          <w:color w:val="525866"/>
          <w:sz w:val="22"/>
        </w:rPr>
        <w:t>shifted more confident since Q1 earnings</w:t>
      </w:r>
      <w:r>
        <w:rPr>
          <w:rFonts w:ascii="Calibri" w:hAnsi="Calibri"/>
          <w:color w:val="525866"/>
          <w:sz w:val="22"/>
        </w:rPr>
        <w:t xml:space="preserve"> — the Bernstein conference disclosure that Q2 QTD billed business is running slightly ahead of Q1 is the most material post-earnings update. No formal guidance revision has been issued; the full-year range remains unchanged, but the tone implies the midpoint is increasingly achievable.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9–10% YoY</w:t>
            </w:r>
          </w:p>
        </w:tc>
        <w:tc>
          <w:tcPr>
            <w:tcW w:type="dxa" w:w="1728"/>
          </w:tcPr>
          <w:p>
            <w:r>
              <w:rPr>
                <w:rFonts w:ascii="Calibri" w:hAnsi="Calibri"/>
                <w:sz w:val="22"/>
              </w:rPr>
              <w:t>—</w:t>
            </w:r>
          </w:p>
        </w:tc>
        <w:tc>
          <w:tcPr>
            <w:tcW w:type="dxa" w:w="1728"/>
          </w:tcPr>
          <w:p>
            <w:r>
              <w:rPr>
                <w:rFonts w:ascii="Calibri" w:hAnsi="Calibri"/>
                <w:sz w:val="22"/>
              </w:rPr>
              <w:t>~10% (FY consensus $79.6B vs. ~$72.5B in FY2025)</w:t>
            </w:r>
          </w:p>
        </w:tc>
        <w:tc>
          <w:tcPr>
            <w:tcW w:type="dxa" w:w="1728"/>
          </w:tcPr>
          <w:p>
            <w:r>
              <w:rPr>
                <w:rFonts w:ascii="Calibri" w:hAnsi="Calibri"/>
                <w:sz w:val="22"/>
              </w:rPr>
              <w:t>Unchanged; Bernstein (May 28) commentary on QTD spend running slightly ahead of Q1 implies upside bias</w:t>
            </w:r>
          </w:p>
        </w:tc>
      </w:tr>
      <w:tr>
        <w:tc>
          <w:tcPr>
            <w:tcW w:type="dxa" w:w="1728"/>
          </w:tcPr>
          <w:p>
            <w:r>
              <w:rPr>
                <w:rFonts w:ascii="Calibri" w:hAnsi="Calibri"/>
                <w:sz w:val="22"/>
              </w:rPr>
              <w:t>FY 2026 Operating EPS</w:t>
            </w:r>
          </w:p>
        </w:tc>
        <w:tc>
          <w:tcPr>
            <w:tcW w:type="dxa" w:w="1728"/>
          </w:tcPr>
          <w:p>
            <w:r>
              <w:rPr>
                <w:rFonts w:ascii="Calibri" w:hAnsi="Calibri"/>
                <w:sz w:val="22"/>
              </w:rPr>
              <w:t>$17.30–$17.90</w:t>
            </w:r>
          </w:p>
        </w:tc>
        <w:tc>
          <w:tcPr>
            <w:tcW w:type="dxa" w:w="1728"/>
          </w:tcPr>
          <w:p>
            <w:r>
              <w:rPr>
                <w:rFonts w:ascii="Calibri" w:hAnsi="Calibri"/>
                <w:sz w:val="22"/>
              </w:rPr>
              <w:t>—</w:t>
            </w:r>
          </w:p>
        </w:tc>
        <w:tc>
          <w:tcPr>
            <w:tcW w:type="dxa" w:w="1728"/>
          </w:tcPr>
          <w:p>
            <w:r>
              <w:rPr>
                <w:rFonts w:ascii="Calibri" w:hAnsi="Calibri"/>
                <w:sz w:val="22"/>
              </w:rPr>
              <w:t>$17.59 (midpoint in line)</w:t>
            </w:r>
          </w:p>
        </w:tc>
        <w:tc>
          <w:tcPr>
            <w:tcW w:type="dxa" w:w="1728"/>
          </w:tcPr>
          <w:p>
            <w:r>
              <w:rPr>
                <w:rFonts w:ascii="Calibri" w:hAnsi="Calibri"/>
                <w:sz w:val="22"/>
              </w:rPr>
              <w:t>Unchanged; management reinvesting Q1 EPS outperformance into marketing/technology rather than raising guide</w:t>
            </w:r>
          </w:p>
        </w:tc>
      </w:tr>
      <w:tr>
        <w:tc>
          <w:tcPr>
            <w:tcW w:type="dxa" w:w="1728"/>
          </w:tcPr>
          <w:p>
            <w:r>
              <w:rPr>
                <w:rFonts w:ascii="Calibri" w:hAnsi="Calibri"/>
                <w:sz w:val="22"/>
              </w:rPr>
              <w:t>Marketing Expense Growth</w:t>
            </w:r>
          </w:p>
        </w:tc>
        <w:tc>
          <w:tcPr>
            <w:tcW w:type="dxa" w:w="1728"/>
          </w:tcPr>
          <w:p>
            <w:r>
              <w:rPr>
                <w:rFonts w:ascii="Calibri" w:hAnsi="Calibri"/>
                <w:sz w:val="22"/>
              </w:rPr>
              <w:t>Mid-single digits (raised from flat at Q1 print)</w:t>
            </w:r>
          </w:p>
        </w:tc>
        <w:tc>
          <w:tcPr>
            <w:tcW w:type="dxa" w:w="1728"/>
          </w:tcPr>
          <w:p>
            <w:r>
              <w:rPr>
                <w:rFonts w:ascii="Calibri" w:hAnsi="Calibri"/>
                <w:sz w:val="22"/>
              </w:rPr>
              <w:t>—</w:t>
            </w:r>
          </w:p>
        </w:tc>
        <w:tc>
          <w:tcPr>
            <w:tcW w:type="dxa" w:w="1728"/>
          </w:tcPr>
          <w:p>
            <w:r>
              <w:rPr>
                <w:rFonts w:ascii="Calibri" w:hAnsi="Calibri"/>
                <w:sz w:val="22"/>
              </w:rPr>
              <w:t>Consensus total expenses ~$14.4B for Q2</w:t>
            </w:r>
          </w:p>
        </w:tc>
        <w:tc>
          <w:tcPr>
            <w:tcW w:type="dxa" w:w="1728"/>
          </w:tcPr>
          <w:p>
            <w:r>
              <w:rPr>
                <w:rFonts w:ascii="Calibri" w:hAnsi="Calibri"/>
                <w:sz w:val="22"/>
              </w:rPr>
              <w:t>↑ Raised at Q1 earnings (Apr 23); reflects confidence in ROI of incremental spend</w:t>
            </w:r>
          </w:p>
        </w:tc>
      </w:tr>
      <w:tr>
        <w:tc>
          <w:tcPr>
            <w:tcW w:type="dxa" w:w="1728"/>
          </w:tcPr>
          <w:p>
            <w:r>
              <w:rPr>
                <w:rFonts w:ascii="Calibri" w:hAnsi="Calibri"/>
                <w:sz w:val="22"/>
              </w:rPr>
              <w:t>VCE-to-Revenue Ratio (FY)</w:t>
            </w:r>
          </w:p>
        </w:tc>
        <w:tc>
          <w:tcPr>
            <w:tcW w:type="dxa" w:w="1728"/>
          </w:tcPr>
          <w:p>
            <w:r>
              <w:rPr>
                <w:rFonts w:ascii="Calibri" w:hAnsi="Calibri"/>
                <w:sz w:val="22"/>
              </w:rPr>
              <w:t>~44% (below Q1’s 44.7%)</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implies modest operating leverage in H2 2026</w:t>
            </w:r>
          </w:p>
        </w:tc>
      </w:tr>
      <w:tr>
        <w:tc>
          <w:tcPr>
            <w:tcW w:type="dxa" w:w="1728"/>
          </w:tcPr>
          <w:p>
            <w:r>
              <w:rPr>
                <w:rFonts w:ascii="Calibri" w:hAnsi="Calibri"/>
                <w:sz w:val="22"/>
              </w:rPr>
              <w:t>Net Card Fee Growth (exit rate)</w:t>
            </w:r>
          </w:p>
        </w:tc>
        <w:tc>
          <w:tcPr>
            <w:tcW w:type="dxa" w:w="1728"/>
          </w:tcPr>
          <w:p>
            <w:r>
              <w:rPr>
                <w:rFonts w:ascii="Calibri" w:hAnsi="Calibri"/>
                <w:sz w:val="22"/>
              </w:rPr>
              <w:t>High-teens by year-end 2026</w:t>
            </w:r>
          </w:p>
        </w:tc>
        <w:tc>
          <w:tcPr>
            <w:tcW w:type="dxa" w:w="1728"/>
          </w:tcPr>
          <w:p>
            <w:r>
              <w:rPr>
                <w:rFonts w:ascii="Calibri" w:hAnsi="Calibri"/>
                <w:sz w:val="22"/>
              </w:rPr>
              <w:t>—</w:t>
            </w:r>
          </w:p>
        </w:tc>
        <w:tc>
          <w:tcPr>
            <w:tcW w:type="dxa" w:w="1728"/>
          </w:tcPr>
          <w:p>
            <w:r>
              <w:rPr>
                <w:rFonts w:ascii="Calibri" w:hAnsi="Calibri"/>
                <w:sz w:val="22"/>
              </w:rPr>
              <w:t>Q2 consensus $2.90B (+17% YoY); FY $11.76B</w:t>
            </w:r>
          </w:p>
        </w:tc>
        <w:tc>
          <w:tcPr>
            <w:tcW w:type="dxa" w:w="1728"/>
          </w:tcPr>
          <w:p>
            <w:r>
              <w:rPr>
                <w:rFonts w:ascii="Calibri" w:hAnsi="Calibri"/>
                <w:sz w:val="22"/>
              </w:rPr>
              <w:t>Unchanged; Platinum back-book repricing on track; 30 consecutive quarters of double-digit growth</w:t>
            </w:r>
          </w:p>
        </w:tc>
      </w:tr>
      <w:tr>
        <w:tc>
          <w:tcPr>
            <w:tcW w:type="dxa" w:w="1728"/>
          </w:tcPr>
          <w:p>
            <w:r>
              <w:rPr>
                <w:rFonts w:ascii="Calibri" w:hAnsi="Calibri"/>
                <w:sz w:val="22"/>
              </w:rPr>
              <w:t>Credit Metrics</w:t>
            </w:r>
          </w:p>
        </w:tc>
        <w:tc>
          <w:tcPr>
            <w:tcW w:type="dxa" w:w="1728"/>
          </w:tcPr>
          <w:p>
            <w:r>
              <w:rPr>
                <w:rFonts w:ascii="Calibri" w:hAnsi="Calibri"/>
                <w:sz w:val="22"/>
              </w:rPr>
              <w:t>Generally stable throughout 2026</w:t>
            </w:r>
          </w:p>
        </w:tc>
        <w:tc>
          <w:tcPr>
            <w:tcW w:type="dxa" w:w="1728"/>
          </w:tcPr>
          <w:p>
            <w:r>
              <w:rPr>
                <w:rFonts w:ascii="Calibri" w:hAnsi="Calibri"/>
                <w:sz w:val="22"/>
              </w:rPr>
              <w:t>—</w:t>
            </w:r>
          </w:p>
        </w:tc>
        <w:tc>
          <w:tcPr>
            <w:tcW w:type="dxa" w:w="1728"/>
          </w:tcPr>
          <w:p>
            <w:r>
              <w:rPr>
                <w:rFonts w:ascii="Calibri" w:hAnsi="Calibri"/>
                <w:sz w:val="22"/>
              </w:rPr>
              <w:t>USCS write-off rate consensus 2.05% for Q2</w:t>
            </w:r>
          </w:p>
        </w:tc>
        <w:tc>
          <w:tcPr>
            <w:tcW w:type="dxa" w:w="1728"/>
          </w:tcPr>
          <w:p>
            <w:r>
              <w:rPr>
                <w:rFonts w:ascii="Calibri" w:hAnsi="Calibri"/>
                <w:sz w:val="22"/>
              </w:rPr>
              <w:t>Unchanged; June 8-K showed Q2 USCS write-off rate of 1.8% for the quarter (aided by ~0.3% from asset sale in June)</w:t>
            </w:r>
          </w:p>
        </w:tc>
      </w:tr>
      <w:tr>
        <w:tc>
          <w:tcPr>
            <w:tcW w:type="dxa" w:w="1728"/>
          </w:tcPr>
          <w:p>
            <w:r>
              <w:rPr>
                <w:rFonts w:ascii="Calibri" w:hAnsi="Calibri"/>
                <w:sz w:val="22"/>
              </w:rPr>
              <w:t>SME Billed Business Impact (co-brand exits)</w:t>
            </w:r>
          </w:p>
        </w:tc>
        <w:tc>
          <w:tcPr>
            <w:tcW w:type="dxa" w:w="1728"/>
          </w:tcPr>
          <w:p>
            <w:r>
              <w:rPr>
                <w:rFonts w:ascii="Calibri" w:hAnsi="Calibri"/>
                <w:sz w:val="22"/>
              </w:rPr>
              <w:t>Low single-digit drag on SME spend starting Q2; zero EPS impact</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Unchanged; Amazon/Lowe’s portfolio exits proceeding as disclosed; baked into full-year guidance from the start</w:t>
            </w:r>
          </w:p>
        </w:tc>
      </w:tr>
    </w:tbl>
    <w:p>
      <w:r>
        <w:rPr>
          <w:rFonts w:ascii="Calibri" w:hAnsi="Calibri"/>
          <w:color w:val="525866"/>
          <w:sz w:val="22"/>
        </w:rPr>
        <w:t xml:space="preserve">The most significant post-Q1 development was management’s disclosure at the Bernstein Strategic Decisions Conference (May 28, 2026) that Q2 QTD billed business growth was running </w:t>
      </w:r>
      <w:r>
        <w:rPr>
          <w:rFonts w:ascii="Calibri" w:hAnsi="Calibri"/>
          <w:b/>
          <w:color w:val="525866"/>
          <w:sz w:val="22"/>
        </w:rPr>
        <w:t>slightly ahead of Q1’s 10% level</w:t>
      </w:r>
      <w:r>
        <w:rPr>
          <w:rFonts w:ascii="Calibri" w:hAnsi="Calibri"/>
          <w:color w:val="525866"/>
          <w:sz w:val="22"/>
        </w:rPr>
        <w:t xml:space="preserve"> and that airline spending had recovered to strong growth in April after late-March softness tied to Middle East travel disruptions. This is the clearest forward signal available and implies the revenue guide is tracking toward the upper half of the 9–10% range. No 8-K guidance revision has been filed; the formal guidance range is unchanged.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EPS and revenue revisions are essentially flat, confirming the street has fully absorbed the reinvestment posture and co-brand drag. The </w:t>
      </w:r>
      <w:r>
        <w:rPr>
          <w:rFonts w:ascii="Calibri" w:hAnsi="Calibri"/>
          <w:b/>
          <w:color w:val="525866"/>
          <w:sz w:val="22"/>
        </w:rPr>
        <w:t>absence of downward revision is itself a positive signal</w:t>
      </w:r>
      <w:r>
        <w:rPr>
          <w:rFonts w:ascii="Calibri" w:hAnsi="Calibri"/>
          <w:color w:val="525866"/>
          <w:sz w:val="22"/>
        </w:rPr>
        <w:t>, as it suggests no incremental negative surprises have emerged in the inter-quarter period.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$4.44</w:t>
            </w:r>
          </w:p>
        </w:tc>
        <w:tc>
          <w:tcPr>
            <w:tcW w:type="dxa" w:w="1080"/>
          </w:tcPr>
          <w:p>
            <w:r>
              <w:rPr>
                <w:rFonts w:ascii="Calibri" w:hAnsi="Calibri"/>
                <w:sz w:val="22"/>
              </w:rPr>
              <w:t>$4.41</w:t>
            </w:r>
          </w:p>
        </w:tc>
        <w:tc>
          <w:tcPr>
            <w:tcW w:type="dxa" w:w="1080"/>
          </w:tcPr>
          <w:p>
            <w:r>
              <w:rPr>
                <w:rFonts w:ascii="Calibri" w:hAnsi="Calibri"/>
                <w:sz w:val="22"/>
              </w:rPr>
              <w:t>-0.7%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$17.62</w:t>
            </w:r>
          </w:p>
        </w:tc>
        <w:tc>
          <w:tcPr>
            <w:tcW w:type="dxa" w:w="1080"/>
          </w:tcPr>
          <w:p>
            <w:r>
              <w:rPr>
                <w:rFonts w:ascii="Calibri" w:hAnsi="Calibri"/>
                <w:sz w:val="22"/>
              </w:rPr>
              <w:t>$17.59</w:t>
            </w:r>
          </w:p>
        </w:tc>
        <w:tc>
          <w:tcPr>
            <w:tcW w:type="dxa" w:w="1080"/>
          </w:tcPr>
          <w:p>
            <w:r>
              <w:rPr>
                <w:rFonts w:ascii="Calibri" w:hAnsi="Calibri"/>
                <w:sz w:val="22"/>
              </w:rPr>
              <w:t>-0.2%</w:t>
            </w:r>
          </w:p>
        </w:tc>
        <w:tc>
          <w:tcPr>
            <w:tcW w:type="dxa" w:w="1080"/>
          </w:tcPr>
          <w:p>
            <w:r>
              <w:rPr>
                <w:rFonts w:ascii="Calibri" w:hAnsi="Calibri"/>
                <w:sz w:val="22"/>
              </w:rPr>
              <w:t>$17.30–$17.90</w:t>
            </w:r>
          </w:p>
        </w:tc>
        <w:tc>
          <w:tcPr>
            <w:tcW w:type="dxa" w:w="1080"/>
          </w:tcPr>
          <w:p>
            <w:r>
              <w:rPr>
                <w:rFonts w:ascii="Calibri" w:hAnsi="Calibri"/>
                <w:sz w:val="22"/>
              </w:rPr>
              <w:t>$17.30–$17.90 (unchanged)</w:t>
            </w:r>
          </w:p>
        </w:tc>
        <w:tc>
          <w:tcPr>
            <w:tcW w:type="dxa" w:w="1080"/>
          </w:tcPr>
          <w:p>
            <w:r>
              <w:rPr>
                <w:rFonts w:ascii="Calibri" w:hAnsi="Calibri"/>
                <w:sz w:val="22"/>
              </w:rPr>
              <w:t>0%</w:t>
            </w:r>
          </w:p>
        </w:tc>
        <w:tc>
          <w:tcPr>
            <w:tcW w:type="dxa" w:w="1080"/>
          </w:tcPr>
          <w:p>
            <w:r>
              <w:rPr>
                <w:rFonts w:ascii="Calibri" w:hAnsi="Calibri"/>
                <w:sz w:val="22"/>
              </w:rPr>
              <w:t>+0.3% vs. midpoint ($17.60)</w:t>
            </w:r>
          </w:p>
        </w:tc>
      </w:tr>
      <w:tr>
        <w:tc>
          <w:tcPr>
            <w:tcW w:type="dxa" w:w="1080"/>
          </w:tcPr>
          <w:p>
            <w:r>
              <w:rPr>
                <w:rFonts w:ascii="Calibri" w:hAnsi="Calibri"/>
                <w:sz w:val="22"/>
              </w:rPr>
              <w:t>Total Revenue — Q2 2026</w:t>
            </w:r>
          </w:p>
        </w:tc>
        <w:tc>
          <w:tcPr>
            <w:tcW w:type="dxa" w:w="1080"/>
          </w:tcPr>
          <w:p>
            <w:r>
              <w:rPr>
                <w:rFonts w:ascii="Calibri" w:hAnsi="Calibri"/>
                <w:sz w:val="22"/>
              </w:rPr>
              <w:t>$19.62B</w:t>
            </w:r>
          </w:p>
        </w:tc>
        <w:tc>
          <w:tcPr>
            <w:tcW w:type="dxa" w:w="1080"/>
          </w:tcPr>
          <w:p>
            <w:r>
              <w:rPr>
                <w:rFonts w:ascii="Calibri" w:hAnsi="Calibri"/>
                <w:sz w:val="22"/>
              </w:rPr>
              <w:t>$19.75B</w:t>
            </w:r>
          </w:p>
        </w:tc>
        <w:tc>
          <w:tcPr>
            <w:tcW w:type="dxa" w:w="1080"/>
          </w:tcPr>
          <w:p>
            <w:r>
              <w:rPr>
                <w:rFonts w:ascii="Calibri" w:hAnsi="Calibri"/>
                <w:sz w:val="22"/>
              </w:rPr>
              <w:t>+0.7%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$79.41B</w:t>
            </w:r>
          </w:p>
        </w:tc>
        <w:tc>
          <w:tcPr>
            <w:tcW w:type="dxa" w:w="1080"/>
          </w:tcPr>
          <w:p>
            <w:r>
              <w:rPr>
                <w:rFonts w:ascii="Calibri" w:hAnsi="Calibri"/>
                <w:sz w:val="22"/>
              </w:rPr>
              <w:t>$79.60B</w:t>
            </w:r>
          </w:p>
        </w:tc>
        <w:tc>
          <w:tcPr>
            <w:tcW w:type="dxa" w:w="1080"/>
          </w:tcPr>
          <w:p>
            <w:r>
              <w:rPr>
                <w:rFonts w:ascii="Calibri" w:hAnsi="Calibri"/>
                <w:sz w:val="22"/>
              </w:rPr>
              <w:t>+0.2%</w:t>
            </w:r>
          </w:p>
        </w:tc>
        <w:tc>
          <w:tcPr>
            <w:tcW w:type="dxa" w:w="1080"/>
          </w:tcPr>
          <w:p>
            <w:r>
              <w:rPr>
                <w:rFonts w:ascii="Calibri" w:hAnsi="Calibri"/>
                <w:sz w:val="22"/>
              </w:rPr>
              <w:t>9–10% growth</w:t>
            </w:r>
          </w:p>
        </w:tc>
        <w:tc>
          <w:tcPr>
            <w:tcW w:type="dxa" w:w="1080"/>
          </w:tcPr>
          <w:p>
            <w:r>
              <w:rPr>
                <w:rFonts w:ascii="Calibri" w:hAnsi="Calibri"/>
                <w:sz w:val="22"/>
              </w:rPr>
              <w:t>9–10% growth (unchanged)</w:t>
            </w:r>
          </w:p>
        </w:tc>
        <w:tc>
          <w:tcPr>
            <w:tcW w:type="dxa" w:w="1080"/>
          </w:tcPr>
          <w:p>
            <w:r>
              <w:rPr>
                <w:rFonts w:ascii="Calibri" w:hAnsi="Calibri"/>
                <w:sz w:val="22"/>
              </w:rPr>
              <w:t>0%</w:t>
            </w:r>
          </w:p>
        </w:tc>
        <w:tc>
          <w:tcPr>
            <w:tcW w:type="dxa" w:w="1080"/>
          </w:tcPr>
          <w:p>
            <w:r>
              <w:rPr>
                <w:rFonts w:ascii="Calibri" w:hAnsi="Calibri"/>
                <w:sz w:val="22"/>
              </w:rPr>
              <w:t>~+10% vs. midpoint; in line</w:t>
            </w:r>
          </w:p>
        </w:tc>
      </w:tr>
      <w:tr>
        <w:tc>
          <w:tcPr>
            <w:tcW w:type="dxa" w:w="1080"/>
          </w:tcPr>
          <w:p>
            <w:r>
              <w:rPr>
                <w:rFonts w:ascii="Calibri" w:hAnsi="Calibri"/>
                <w:sz w:val="22"/>
              </w:rPr>
              <w:t>Billed Business — Q2 2026</w:t>
            </w:r>
          </w:p>
        </w:tc>
        <w:tc>
          <w:tcPr>
            <w:tcW w:type="dxa" w:w="1080"/>
          </w:tcPr>
          <w:p>
            <w:r>
              <w:rPr>
                <w:rFonts w:ascii="Calibri" w:hAnsi="Calibri"/>
                <w:sz w:val="22"/>
              </w:rPr>
              <w:t>$452.2B</w:t>
            </w:r>
          </w:p>
        </w:tc>
        <w:tc>
          <w:tcPr>
            <w:tcW w:type="dxa" w:w="1080"/>
          </w:tcPr>
          <w:p>
            <w:r>
              <w:rPr>
                <w:rFonts w:ascii="Calibri" w:hAnsi="Calibri"/>
                <w:sz w:val="22"/>
              </w:rPr>
              <w:t>$455.7B</w:t>
            </w:r>
          </w:p>
        </w:tc>
        <w:tc>
          <w:tcPr>
            <w:tcW w:type="dxa" w:w="1080"/>
          </w:tcPr>
          <w:p>
            <w:r>
              <w:rPr>
                <w:rFonts w:ascii="Calibri" w:hAnsi="Calibri"/>
                <w:sz w:val="22"/>
              </w:rPr>
              <w:t>+0.8%</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Card Fees — Q2 2026</w:t>
            </w:r>
          </w:p>
        </w:tc>
        <w:tc>
          <w:tcPr>
            <w:tcW w:type="dxa" w:w="1080"/>
          </w:tcPr>
          <w:p>
            <w:r>
              <w:rPr>
                <w:rFonts w:ascii="Calibri" w:hAnsi="Calibri"/>
                <w:sz w:val="22"/>
              </w:rPr>
              <w:t>$2.894B</w:t>
            </w:r>
          </w:p>
        </w:tc>
        <w:tc>
          <w:tcPr>
            <w:tcW w:type="dxa" w:w="1080"/>
          </w:tcPr>
          <w:p>
            <w:r>
              <w:rPr>
                <w:rFonts w:ascii="Calibri" w:hAnsi="Calibri"/>
                <w:sz w:val="22"/>
              </w:rPr>
              <w:t>$2.901B</w:t>
            </w:r>
          </w:p>
        </w:tc>
        <w:tc>
          <w:tcPr>
            <w:tcW w:type="dxa" w:w="1080"/>
          </w:tcPr>
          <w:p>
            <w:r>
              <w:rPr>
                <w:rFonts w:ascii="Calibri" w:hAnsi="Calibri"/>
                <w:sz w:val="22"/>
              </w:rPr>
              <w:t>+0.2%</w:t>
            </w:r>
          </w:p>
        </w:tc>
        <w:tc>
          <w:tcPr>
            <w:tcW w:type="dxa" w:w="1080"/>
          </w:tcPr>
          <w:p>
            <w:r>
              <w:rPr>
                <w:rFonts w:ascii="Calibri" w:hAnsi="Calibri"/>
                <w:sz w:val="22"/>
              </w:rPr>
              <w:t>High-teens exit rate (FY)</w:t>
            </w:r>
          </w:p>
        </w:tc>
        <w:tc>
          <w:tcPr>
            <w:tcW w:type="dxa" w:w="1080"/>
          </w:tcPr>
          <w:p>
            <w:r>
              <w:rPr>
                <w:rFonts w:ascii="Calibri" w:hAnsi="Calibri"/>
                <w:sz w:val="22"/>
              </w:rPr>
              <w:t>High-teens exit rate (unchanged)</w:t>
            </w:r>
          </w:p>
        </w:tc>
        <w:tc>
          <w:tcPr>
            <w:tcW w:type="dxa" w:w="1080"/>
          </w:tcPr>
          <w:p>
            <w:r>
              <w:rPr>
                <w:rFonts w:ascii="Calibri" w:hAnsi="Calibri"/>
                <w:sz w:val="22"/>
              </w:rPr>
              <w:t>0%</w:t>
            </w:r>
          </w:p>
        </w:tc>
        <w:tc>
          <w:tcPr>
            <w:tcW w:type="dxa" w:w="1080"/>
          </w:tcPr>
          <w:p>
            <w:r>
              <w:rPr>
                <w:rFonts w:ascii="Calibri" w:hAnsi="Calibri"/>
                <w:sz w:val="22"/>
              </w:rPr>
              <w:t>~+17% YoY; on track</w:t>
            </w:r>
          </w:p>
        </w:tc>
      </w:tr>
    </w:tbl>
    <w:p>
      <w:r>
        <w:rPr>
          <w:rFonts w:ascii="Calibri" w:hAnsi="Calibri"/>
          <w:i/>
          <w:color w:val="525866"/>
          <w:sz w:val="22"/>
        </w:rPr>
        <w:t xml:space="preserve">Estimates have barely moved since the Q1 print — the largest revision is a -0.7% drift in Q2 EPS, which is within normal rounding. Revenue estimates have actually ticked </w:t>
      </w:r>
      <w:r>
        <w:rPr>
          <w:rFonts w:ascii="Calibri" w:hAnsi="Calibri"/>
          <w:b/>
          <w:i/>
          <w:color w:val="525866"/>
          <w:sz w:val="22"/>
        </w:rPr>
        <w:t>up</w:t>
      </w:r>
      <w:r>
        <w:rPr>
          <w:rFonts w:ascii="Calibri" w:hAnsi="Calibri"/>
          <w:color w:val="525866"/>
          <w:sz w:val="22"/>
        </w:rPr>
        <w:t xml:space="preserve"> slightly (+0.7% for Q2, +0.2% for FY), consistent with the Bernstein conference signal that QTD spend is running ahead of Q1. The gap between consensus and guidance is negligible, suggesting the street is essentially tracking management’s own framework.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AXP has outperformed the S&amp;P 500 since the Q1 print (+7.0% vs. +4.2%) but roughly matched XLF (+7.8%), suggesting the move is </w:t>
      </w:r>
      <w:r>
        <w:rPr>
          <w:rFonts w:ascii="Calibri" w:hAnsi="Calibri"/>
          <w:b/>
          <w:color w:val="525866"/>
          <w:sz w:val="22"/>
        </w:rPr>
        <w:t>sector-driven rather than AXP-specific re-rating</w:t>
      </w:r>
      <w:r>
        <w:rPr>
          <w:rFonts w:ascii="Calibri" w:hAnsi="Calibri"/>
          <w:color w:val="525866"/>
          <w:sz w:val="22"/>
        </w:rPr>
        <w:t>. The stock’s mid-June surge (from ~$300 to ~$360) coincided with improving macro sentiment and the GBT stake sale announcement, not estimate revisions — implying the rally is partially sentiment/capital-return driven and may need an earnings beat to sustain.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AXP vs. XLF (Financial Select Sector SPDR ETF) vs. S&amp;P 500 — Indexed to 100 at April 23, 2026 (Q1 2026 Earnings Date). Source: Stock Price Data.</w:t>
      </w:r>
    </w:p>
    <w:p>
      <w:r>
        <w:rPr>
          <w:rFonts w:ascii="Calibri" w:hAnsi="Calibri"/>
          <w:color w:val="525866"/>
          <w:sz w:val="22"/>
        </w:rPr>
        <w:t xml:space="preserve">AXP closed at $318.55 on April 23 (Q1 earnings day) and reached $340.84 by July 22, a gain of </w:t>
      </w:r>
      <w:r>
        <w:rPr>
          <w:rFonts w:ascii="Calibri" w:hAnsi="Calibri"/>
          <w:b/>
          <w:color w:val="525866"/>
          <w:sz w:val="22"/>
        </w:rPr>
        <w:t>+7.0%</w:t>
      </w:r>
      <w:r>
        <w:rPr>
          <w:rFonts w:ascii="Calibri" w:hAnsi="Calibri"/>
          <w:color w:val="525866"/>
          <w:sz w:val="22"/>
        </w:rPr>
        <w:t>. The stock initially sold off in the days following the Q1 print (declining to ~$309 by mid-May) as investors digested the reinvestment-over-EPS-flow-through posture and airline spending softness. A sharp recovery began in mid-June, with AXP rallying from ~$300 to ~$361 by July 16, driven by: (1) the May 28 Bernstein conference disclosure of strong QTD spend, (2) the May 4 announcement of the GBT stake sale expected to generate a ~$975M pre-tax gain, and (3) improving broader financial sector sentiment. The stock has since pulled back modestly to ~$341, likely reflecting pre-earnings positioning. XLF gained +7.8% over the same period, and the S&amp;P 500 gained +4.2%, confirming AXP’s performance is broadly in line with financials rather than a stock-specific re-rating. The multiple remains earnings-delivery dependent.</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since April 23, 2026 is broadly constructive for AXP’s Q2 setup: </w:t>
      </w:r>
      <w:r>
        <w:rPr>
          <w:rFonts w:ascii="Calibri" w:hAnsi="Calibri"/>
          <w:b/>
          <w:color w:val="525866"/>
          <w:sz w:val="22"/>
        </w:rPr>
        <w:t>consumer spending accelerated into Q2 across all major card networks and banks</w:t>
      </w:r>
      <w:r>
        <w:rPr>
          <w:rFonts w:ascii="Calibri" w:hAnsi="Calibri"/>
          <w:color w:val="525866"/>
          <w:sz w:val="22"/>
        </w:rPr>
        <w:t>, credit quality improved or held stable, and the premium/affluent segment continued to outperform. The Middle East travel disruption that clipped AXP’s late-Q1 airline spend appears to have been transitory, consistent with management’s own Bernstein commentary.</w:t>
      </w:r>
    </w:p>
    <w:p>
      <w:pPr>
        <w:pStyle w:val="Heading3"/>
      </w:pPr>
      <w:r>
        <w:rPr>
          <w:rFonts w:ascii="Calibri" w:hAnsi="Calibri"/>
          <w:b/>
          <w:color w:val="3B4259"/>
          <w:sz w:val="24"/>
        </w:rPr>
        <w:t>Visa (V) — Q2 FY2026 Earnings (April 28, 2026) &amp; Baird Conference (June 3, 2026)</w:t>
      </w:r>
    </w:p>
    <w:p>
      <w:r>
        <w:rPr>
          <w:rFonts w:ascii="Calibri" w:hAnsi="Calibri"/>
          <w:b/>
          <w:color w:val="30A46C"/>
          <w:sz w:val="22"/>
        </w:rPr>
        <w:t xml:space="preserve">Read-Through: </w:t>
      </w:r>
      <w:r>
        <w:rPr>
          <w:rFonts w:ascii="Calibri" w:hAnsi="Calibri"/>
          <w:color w:val="525866"/>
          <w:sz w:val="22"/>
        </w:rPr>
        <w:t xml:space="preserve"> Positive for AXP billed business and T&amp;E spend.</w:t>
      </w:r>
    </w:p>
    <w:p>
      <w:pPr>
        <w:pStyle w:val="ListBullet"/>
        <w:ind w:left="360" w:hanging="360"/>
      </w:pPr>
      <w:r>
        <w:rPr>
          <w:rFonts w:ascii="Calibri" w:hAnsi="Calibri"/>
          <w:color w:val="525866"/>
          <w:sz w:val="22"/>
        </w:rPr>
        <w:t xml:space="preserve">U.S. payments volume grew </w:t>
      </w:r>
      <w:r>
        <w:rPr>
          <w:rFonts w:ascii="Calibri" w:hAnsi="Calibri"/>
          <w:b/>
          <w:color w:val="525866"/>
          <w:sz w:val="22"/>
        </w:rPr>
        <w:t>+8% YoY in Q2</w:t>
      </w:r>
      <w:r>
        <w:rPr>
          <w:rFonts w:ascii="Calibri" w:hAnsi="Calibri"/>
          <w:color w:val="525866"/>
          <w:sz w:val="22"/>
        </w:rPr>
        <w:t>, up nearly 1.5 points from Q1, with credit up +10% and debit up +7%. Both credit and debit showed broad-based improvement, partly aided by higher tax refunds — a tailwind that would also benefit AXP’s premium card base.</w:t>
      </w:r>
    </w:p>
    <w:p>
      <w:pPr>
        <w:pStyle w:val="ListBullet"/>
        <w:ind w:left="360" w:hanging="360"/>
      </w:pPr>
      <w:r>
        <w:rPr>
          <w:rFonts w:ascii="Calibri" w:hAnsi="Calibri"/>
          <w:color w:val="525866"/>
          <w:sz w:val="22"/>
        </w:rPr>
        <w:t xml:space="preserve">Cross-border travel volume grew </w:t>
      </w:r>
      <w:r>
        <w:rPr>
          <w:rFonts w:ascii="Calibri" w:hAnsi="Calibri"/>
          <w:b/>
          <w:color w:val="525866"/>
          <w:sz w:val="22"/>
        </w:rPr>
        <w:t>+10% YoY</w:t>
      </w:r>
      <w:r>
        <w:rPr>
          <w:rFonts w:ascii="Calibri" w:hAnsi="Calibri"/>
          <w:color w:val="525866"/>
          <w:sz w:val="22"/>
        </w:rPr>
        <w:t>, generally consistent with Q1 despite Middle East headwinds in March. Management noted the step-down in travel was most pronounced in March and that April data (through April 21) showed travel up +5% with e-commerce up +14% — the travel softness was transitory, consistent with AXP’s Bernstein disclosure.</w:t>
      </w:r>
    </w:p>
    <w:p>
      <w:pPr>
        <w:pStyle w:val="ListBullet"/>
        <w:ind w:left="360" w:hanging="360"/>
      </w:pPr>
      <w:r>
        <w:rPr>
          <w:rFonts w:ascii="Calibri" w:hAnsi="Calibri"/>
          <w:b/>
          <w:color w:val="525866"/>
          <w:sz w:val="22"/>
        </w:rPr>
        <w:t xml:space="preserve">Premium/affluent segment: </w:t>
      </w:r>
      <w:r>
        <w:rPr>
          <w:rFonts w:ascii="Calibri" w:hAnsi="Calibri"/>
          <w:color w:val="525866"/>
          <w:sz w:val="22"/>
        </w:rPr>
        <w:t xml:space="preserve">Affluent cards identified as the </w:t>
      </w:r>
      <w:r>
        <w:rPr>
          <w:rFonts w:ascii="Calibri" w:hAnsi="Calibri"/>
          <w:b/>
          <w:color w:val="525866"/>
          <w:sz w:val="22"/>
        </w:rPr>
        <w:t>fastest-growing area of consumer payments</w:t>
      </w:r>
      <w:r>
        <w:rPr>
          <w:rFonts w:ascii="Calibri" w:hAnsi="Calibri"/>
          <w:color w:val="525866"/>
          <w:sz w:val="22"/>
        </w:rPr>
        <w:t>, with the highest spend band continuing to grow fastest. Directly positive for AXP’s premium card base and net card fee trajectory.</w:t>
      </w:r>
    </w:p>
    <w:p>
      <w:pPr>
        <w:pStyle w:val="ListBullet"/>
        <w:ind w:left="360" w:hanging="360"/>
      </w:pPr>
      <w:r>
        <w:rPr>
          <w:rFonts w:ascii="Calibri" w:hAnsi="Calibri"/>
          <w:color w:val="525866"/>
          <w:sz w:val="22"/>
        </w:rPr>
        <w:t>FIFA World Cup and Olympics expected to drive incremental cross-border travel and card activation in H2 2026 — a potential tailwind for AXP’s international T&amp;E spend.</w:t>
      </w:r>
    </w:p>
    <w:p>
      <w:pPr>
        <w:pStyle w:val="Heading3"/>
      </w:pPr>
      <w:r>
        <w:rPr>
          <w:rFonts w:ascii="Calibri" w:hAnsi="Calibri"/>
          <w:b/>
          <w:color w:val="3B4259"/>
          <w:sz w:val="24"/>
        </w:rPr>
        <w:t>Mastercard (MA) — Q1 2026 Earnings (April 30, 2026), Bernstein Conference (May 28, 2026) &amp; Evercore TMT Conference (June 3, 2026)</w:t>
      </w:r>
    </w:p>
    <w:p>
      <w:r>
        <w:rPr>
          <w:rFonts w:ascii="Calibri" w:hAnsi="Calibri"/>
          <w:b/>
          <w:color w:val="30A46C"/>
          <w:sz w:val="22"/>
        </w:rPr>
        <w:t xml:space="preserve">Read-Through: </w:t>
      </w:r>
      <w:r>
        <w:rPr>
          <w:rFonts w:ascii="Calibri" w:hAnsi="Calibri"/>
          <w:color w:val="525866"/>
          <w:sz w:val="22"/>
        </w:rPr>
        <w:t xml:space="preserve"> Positive for AXP spend and premium positioning.</w:t>
      </w:r>
    </w:p>
    <w:p>
      <w:pPr>
        <w:pStyle w:val="ListBullet"/>
        <w:ind w:left="360" w:hanging="360"/>
      </w:pPr>
      <w:r>
        <w:rPr>
          <w:rFonts w:ascii="Calibri" w:hAnsi="Calibri"/>
          <w:color w:val="525866"/>
          <w:sz w:val="22"/>
        </w:rPr>
        <w:t xml:space="preserve">Worldwide GDV grew </w:t>
      </w:r>
      <w:r>
        <w:rPr>
          <w:rFonts w:ascii="Calibri" w:hAnsi="Calibri"/>
          <w:b/>
          <w:color w:val="525866"/>
          <w:sz w:val="22"/>
        </w:rPr>
        <w:t>+7% YoY in Q1 2026</w:t>
      </w:r>
      <w:r>
        <w:rPr>
          <w:rFonts w:ascii="Calibri" w:hAnsi="Calibri"/>
          <w:color w:val="525866"/>
          <w:sz w:val="22"/>
        </w:rPr>
        <w:t>, with U.S. credit up +8%. Switched transactions grew +9%. Underlying consumer and business spend described as “healthy” with labor markets balanced and wages outpacing inflation in most major markets.</w:t>
      </w:r>
    </w:p>
    <w:p>
      <w:pPr>
        <w:pStyle w:val="ListBullet"/>
        <w:ind w:left="360" w:hanging="360"/>
      </w:pPr>
      <w:r>
        <w:rPr>
          <w:rFonts w:ascii="Calibri" w:hAnsi="Calibri"/>
          <w:b/>
          <w:color w:val="525866"/>
          <w:sz w:val="22"/>
        </w:rPr>
        <w:t xml:space="preserve">Middle East travel impact: </w:t>
      </w:r>
      <w:r>
        <w:rPr>
          <w:rFonts w:ascii="Calibri" w:hAnsi="Calibri"/>
          <w:color w:val="525866"/>
          <w:sz w:val="22"/>
        </w:rPr>
        <w:t xml:space="preserve">Cross-border travel growth decelerated from +8% to +2% in early April due to the conflict, Ramadan timing, and portfolio shifts. MA assumed the conflict ends in Q2 with headwinds largest in Q2 and progressively recovering in H2 — </w:t>
      </w:r>
      <w:r>
        <w:rPr>
          <w:rFonts w:ascii="Calibri" w:hAnsi="Calibri"/>
          <w:b/>
          <w:color w:val="525866"/>
          <w:sz w:val="22"/>
        </w:rPr>
        <w:t>consistent with AXP’s own recovery narrative</w:t>
      </w:r>
      <w:r>
        <w:rPr>
          <w:rFonts w:ascii="Calibri" w:hAnsi="Calibri"/>
          <w:color w:val="525866"/>
          <w:sz w:val="22"/>
        </w:rPr>
        <w:t xml:space="preserve"> at Bernstein.</w:t>
      </w:r>
    </w:p>
    <w:p>
      <w:pPr>
        <w:pStyle w:val="ListBullet"/>
        <w:ind w:left="360" w:hanging="360"/>
      </w:pPr>
      <w:r>
        <w:rPr>
          <w:rFonts w:ascii="Calibri" w:hAnsi="Calibri"/>
          <w:b/>
          <w:color w:val="525866"/>
          <w:sz w:val="22"/>
        </w:rPr>
        <w:t xml:space="preserve">Premium momentum: </w:t>
      </w:r>
      <w:r>
        <w:rPr>
          <w:rFonts w:ascii="Calibri" w:hAnsi="Calibri"/>
          <w:color w:val="525866"/>
          <w:sz w:val="22"/>
        </w:rPr>
        <w:t xml:space="preserve">“Strong momentum in the affluent space as issuers look to differentiate and deepen relationships with high-spend customers.” MA’s World Legend cards show </w:t>
      </w:r>
      <w:r>
        <w:rPr>
          <w:rFonts w:ascii="Calibri" w:hAnsi="Calibri"/>
          <w:b/>
          <w:color w:val="525866"/>
          <w:sz w:val="22"/>
        </w:rPr>
        <w:t>3x higher cross-border spend</w:t>
      </w:r>
      <w:r>
        <w:rPr>
          <w:rFonts w:ascii="Calibri" w:hAnsi="Calibri"/>
          <w:color w:val="525866"/>
          <w:sz w:val="22"/>
        </w:rPr>
        <w:t xml:space="preserve"> vs. World Elite — validates the premium card fee model that AXP is executing.</w:t>
      </w:r>
    </w:p>
    <w:p>
      <w:pPr>
        <w:pStyle w:val="ListBullet"/>
        <w:ind w:left="360" w:hanging="360"/>
      </w:pPr>
      <w:r>
        <w:rPr>
          <w:rFonts w:ascii="Calibri" w:hAnsi="Calibri"/>
          <w:color w:val="525866"/>
          <w:sz w:val="22"/>
        </w:rPr>
        <w:t>At the Bernstein conference (May 28), CEO Miebach noted consumer spending growth “has continued into May, the first 2 weeks as well, where we saw stable to slightly better consumer spending” — a direct read-through to AXP’s QTD commentary.</w:t>
      </w:r>
    </w:p>
    <w:p>
      <w:pPr>
        <w:pStyle w:val="Heading3"/>
      </w:pPr>
      <w:r>
        <w:rPr>
          <w:rFonts w:ascii="Calibri" w:hAnsi="Calibri"/>
          <w:b/>
          <w:color w:val="3B4259"/>
          <w:sz w:val="24"/>
        </w:rPr>
        <w:t>JPMorgan Chase (JPM) — Q2 2026 Earnings (July 14, 2026) &amp; Morgan Stanley Financials Conference (June 9, 2026)</w:t>
      </w:r>
    </w:p>
    <w:p>
      <w:r>
        <w:rPr>
          <w:rFonts w:ascii="Calibri" w:hAnsi="Calibri"/>
          <w:b/>
          <w:color w:val="30A46C"/>
          <w:sz w:val="22"/>
        </w:rPr>
        <w:t xml:space="preserve">Read-Through: </w:t>
      </w:r>
      <w:r>
        <w:rPr>
          <w:rFonts w:ascii="Calibri" w:hAnsi="Calibri"/>
          <w:color w:val="525866"/>
          <w:sz w:val="22"/>
        </w:rPr>
        <w:t xml:space="preserve"> Broadly positive for consumer spending; credit quality constructive.</w:t>
      </w:r>
    </w:p>
    <w:p>
      <w:pPr>
        <w:pStyle w:val="ListBullet"/>
        <w:ind w:left="360" w:hanging="360"/>
      </w:pPr>
      <w:r>
        <w:rPr>
          <w:rFonts w:ascii="Calibri" w:hAnsi="Calibri"/>
          <w:color w:val="525866"/>
          <w:sz w:val="22"/>
        </w:rPr>
        <w:t xml:space="preserve">Q2 2026 earnings: Consumer spending described as “fine” and “robust” and “across income segments.” CCB revenue of $20.3B was up </w:t>
      </w:r>
      <w:r>
        <w:rPr>
          <w:rFonts w:ascii="Calibri" w:hAnsi="Calibri"/>
          <w:b/>
          <w:color w:val="525866"/>
          <w:sz w:val="22"/>
        </w:rPr>
        <w:t>+8% YoY</w:t>
      </w:r>
      <w:r>
        <w:rPr>
          <w:rFonts w:ascii="Calibri" w:hAnsi="Calibri"/>
          <w:color w:val="525866"/>
          <w:sz w:val="22"/>
        </w:rPr>
        <w:t>, predominantly driven by higher card NII on higher revolving balances. Tax refund tailwind noted.</w:t>
      </w:r>
    </w:p>
    <w:p>
      <w:pPr>
        <w:pStyle w:val="ListBullet"/>
        <w:ind w:left="360" w:hanging="360"/>
      </w:pPr>
      <w:r>
        <w:rPr>
          <w:rFonts w:ascii="Calibri" w:hAnsi="Calibri"/>
          <w:color w:val="525866"/>
          <w:sz w:val="22"/>
        </w:rPr>
        <w:t xml:space="preserve">Credit quality: JPM now expects full-year 2026 card net charge-off rate of approximately </w:t>
      </w:r>
      <w:r>
        <w:rPr>
          <w:rFonts w:ascii="Calibri" w:hAnsi="Calibri"/>
          <w:b/>
          <w:color w:val="525866"/>
          <w:sz w:val="22"/>
        </w:rPr>
        <w:t>3.2%</w:t>
      </w:r>
      <w:r>
        <w:rPr>
          <w:rFonts w:ascii="Calibri" w:hAnsi="Calibri"/>
          <w:color w:val="525866"/>
          <w:sz w:val="22"/>
        </w:rPr>
        <w:t>, reflecting “better than expected consumer credit performance.” Delinquencies “a little lower than expected” across FICO score bands — positive read-through for AXP’s already best-in-class credit metrics.</w:t>
      </w:r>
    </w:p>
    <w:p>
      <w:pPr>
        <w:pStyle w:val="ListBullet"/>
        <w:ind w:left="360" w:hanging="360"/>
      </w:pPr>
      <w:r>
        <w:rPr>
          <w:rFonts w:ascii="Calibri" w:hAnsi="Calibri"/>
          <w:color w:val="525866"/>
          <w:sz w:val="22"/>
        </w:rPr>
        <w:t xml:space="preserve">At the Morgan Stanley conference (June 9), CCB CEO Marianne Lake noted that while cash buffers have normalized, the consumer remains resilient. She flagged that in April, real wages did not keep up with inflation for the first time in a while due to the energy shock — a </w:t>
      </w:r>
      <w:r>
        <w:rPr>
          <w:rFonts w:ascii="Calibri" w:hAnsi="Calibri"/>
          <w:b/>
          <w:color w:val="525866"/>
          <w:sz w:val="22"/>
        </w:rPr>
        <w:t>watch item</w:t>
      </w:r>
      <w:r>
        <w:rPr>
          <w:rFonts w:ascii="Calibri" w:hAnsi="Calibri"/>
          <w:color w:val="525866"/>
          <w:sz w:val="22"/>
        </w:rPr>
        <w:t xml:space="preserve"> for lower-income cohorts, though AXP’s premium base is less exposed.</w:t>
      </w:r>
    </w:p>
    <w:p>
      <w:pPr>
        <w:pStyle w:val="ListBullet"/>
        <w:ind w:left="360" w:hanging="360"/>
      </w:pPr>
      <w:r>
        <w:rPr>
          <w:rFonts w:ascii="Calibri" w:hAnsi="Calibri"/>
          <w:color w:val="525866"/>
          <w:sz w:val="22"/>
        </w:rPr>
        <w:t>JPM refreshed its Sapphire Preferred Card in June 2026 — a competitive signal that the premium card market remains intensely contested, though management noted spending is robust “across income segments,” not just at the top.</w:t>
      </w:r>
    </w:p>
    <w:p>
      <w:pPr>
        <w:pStyle w:val="Heading3"/>
      </w:pPr>
      <w:r>
        <w:rPr>
          <w:rFonts w:ascii="Calibri" w:hAnsi="Calibri"/>
          <w:b/>
          <w:color w:val="3B4259"/>
          <w:sz w:val="24"/>
        </w:rPr>
        <w:t>Bank of America (BAC) — Q2 2026 Earnings (July 14, 2026) &amp; Morgan Stanley Financials Conference (June 9, 2026)</w:t>
      </w:r>
    </w:p>
    <w:p>
      <w:r>
        <w:rPr>
          <w:rFonts w:ascii="Calibri" w:hAnsi="Calibri"/>
          <w:b/>
          <w:color w:val="30A46C"/>
          <w:sz w:val="22"/>
        </w:rPr>
        <w:t xml:space="preserve">Read-Through: </w:t>
      </w:r>
      <w:r>
        <w:rPr>
          <w:rFonts w:ascii="Calibri" w:hAnsi="Calibri"/>
          <w:color w:val="525866"/>
          <w:sz w:val="22"/>
        </w:rPr>
        <w:t xml:space="preserve"> Positive for consumer spending and credit quality.</w:t>
      </w:r>
    </w:p>
    <w:p>
      <w:pPr>
        <w:pStyle w:val="ListBullet"/>
        <w:ind w:left="360" w:hanging="360"/>
      </w:pPr>
      <w:r>
        <w:rPr>
          <w:rFonts w:ascii="Calibri" w:hAnsi="Calibri"/>
          <w:color w:val="525866"/>
          <w:sz w:val="22"/>
        </w:rPr>
        <w:t xml:space="preserve">Q2 2026 earnings: Consumer spending “recently expanded and continued to outperform expectations.” Spending picked up during Q2 and is now running at </w:t>
      </w:r>
      <w:r>
        <w:rPr>
          <w:rFonts w:ascii="Calibri" w:hAnsi="Calibri"/>
          <w:b/>
          <w:color w:val="525866"/>
          <w:sz w:val="22"/>
        </w:rPr>
        <w:t>+6% YoY</w:t>
      </w:r>
      <w:r>
        <w:rPr>
          <w:rFonts w:ascii="Calibri" w:hAnsi="Calibri"/>
          <w:color w:val="525866"/>
          <w:sz w:val="22"/>
        </w:rPr>
        <w:t xml:space="preserve"> (vs. +5% for H1). Encouraged spending up +9% YoY to $266B. Economic backdrop described as “very constructive.”</w:t>
      </w:r>
    </w:p>
    <w:p>
      <w:pPr>
        <w:pStyle w:val="ListBullet"/>
        <w:ind w:left="360" w:hanging="360"/>
      </w:pPr>
      <w:r>
        <w:rPr>
          <w:rFonts w:ascii="Calibri" w:hAnsi="Calibri"/>
          <w:color w:val="525866"/>
          <w:sz w:val="22"/>
        </w:rPr>
        <w:t xml:space="preserve">Credit quality: Consumer charge card charge-offs and delinquencies improved both YoY and QoQ. Net charge-offs of $1.4B were “largely unchanged from Q1.” Management noted “credit costs in the company have flattened out at very strong historical levels” — </w:t>
      </w:r>
      <w:r>
        <w:rPr>
          <w:rFonts w:ascii="Calibri" w:hAnsi="Calibri"/>
          <w:b/>
          <w:color w:val="525866"/>
          <w:sz w:val="22"/>
        </w:rPr>
        <w:t>supportive of AXP’s stable credit narrative</w:t>
      </w:r>
      <w:r>
        <w:rPr>
          <w:rFonts w:ascii="Calibri" w:hAnsi="Calibri"/>
          <w:color w:val="525866"/>
          <w:sz w:val="22"/>
        </w:rPr>
        <w:t>.</w:t>
      </w:r>
    </w:p>
    <w:p>
      <w:pPr>
        <w:pStyle w:val="ListBullet"/>
        <w:ind w:left="360" w:hanging="360"/>
      </w:pPr>
      <w:r>
        <w:rPr>
          <w:rFonts w:ascii="Calibri" w:hAnsi="Calibri"/>
          <w:color w:val="525866"/>
          <w:sz w:val="22"/>
        </w:rPr>
        <w:t>Affluent segment: GWIM delivered record revenue and pre-tax income; client balances reached a record $4.9T (+12% YoY); AUM grew +17% YoY. BAC added 6,000 net new affluent households in Q2 — confirms the premium consumer remains highly engaged and financially healthy.</w:t>
      </w:r>
    </w:p>
    <w:p>
      <w:pPr>
        <w:pStyle w:val="ListBullet"/>
        <w:ind w:left="360" w:hanging="360"/>
      </w:pPr>
      <w:r>
        <w:rPr>
          <w:rFonts w:ascii="Calibri" w:hAnsi="Calibri"/>
          <w:color w:val="525866"/>
          <w:sz w:val="22"/>
        </w:rPr>
        <w:t xml:space="preserve">Credit card balances grew </w:t>
      </w:r>
      <w:r>
        <w:rPr>
          <w:rFonts w:ascii="Calibri" w:hAnsi="Calibri"/>
          <w:b/>
          <w:color w:val="525866"/>
          <w:sz w:val="22"/>
        </w:rPr>
        <w:t>+4% YoY</w:t>
      </w:r>
      <w:r>
        <w:rPr>
          <w:rFonts w:ascii="Calibri" w:hAnsi="Calibri"/>
          <w:color w:val="525866"/>
          <w:sz w:val="22"/>
        </w:rPr>
        <w:t xml:space="preserve"> as BAC increased marketing and enhanced product offerings, tracking toward a stated goal of +5% card growth — a competitive signal but also confirmation of healthy card market demand.</w:t>
      </w:r>
    </w:p>
    <w:p>
      <w:pPr>
        <w:pStyle w:val="Heading3"/>
      </w:pPr>
      <w:r>
        <w:rPr>
          <w:rFonts w:ascii="Calibri" w:hAnsi="Calibri"/>
          <w:b/>
          <w:color w:val="3B4259"/>
          <w:sz w:val="24"/>
        </w:rPr>
        <w:t>Capital One (COF) — Q2 2026 Earnings (July 21, 2026) &amp; Morgan Stanley Financials Conference (June 9, 2026)</w:t>
      </w:r>
    </w:p>
    <w:p>
      <w:r>
        <w:rPr>
          <w:rFonts w:ascii="Calibri" w:hAnsi="Calibri"/>
          <w:b/>
          <w:color w:val="30A46C"/>
          <w:sz w:val="22"/>
        </w:rPr>
        <w:t xml:space="preserve">Read-Through: </w:t>
      </w:r>
      <w:r>
        <w:rPr>
          <w:rFonts w:ascii="Calibri" w:hAnsi="Calibri"/>
          <w:color w:val="525866"/>
          <w:sz w:val="22"/>
        </w:rPr>
        <w:t xml:space="preserve"> Positive for consumer health and credit; mixed on competitive dynamics.</w:t>
      </w:r>
    </w:p>
    <w:p>
      <w:pPr>
        <w:pStyle w:val="ListBullet"/>
        <w:ind w:left="360" w:hanging="360"/>
      </w:pPr>
      <w:r>
        <w:rPr>
          <w:rFonts w:ascii="Calibri" w:hAnsi="Calibri"/>
          <w:color w:val="525866"/>
          <w:sz w:val="22"/>
        </w:rPr>
        <w:t>Q2 2026 earnings: U.S. consumer and economy “remained resilient despite high energy prices.” Key indicators: unemployment in June lower than in February, jobless claims low, job creation rebounded. Consumer spending “remains strong.” Real wage growth returned to positive territory in June after being negative in April/May.</w:t>
      </w:r>
    </w:p>
    <w:p>
      <w:pPr>
        <w:pStyle w:val="ListBullet"/>
        <w:ind w:left="360" w:hanging="360"/>
      </w:pPr>
      <w:r>
        <w:rPr>
          <w:rFonts w:ascii="Calibri" w:hAnsi="Calibri"/>
          <w:color w:val="525866"/>
          <w:sz w:val="22"/>
        </w:rPr>
        <w:t xml:space="preserve">Legacy Capital One purchase volume grew </w:t>
      </w:r>
      <w:r>
        <w:rPr>
          <w:rFonts w:ascii="Calibri" w:hAnsi="Calibri"/>
          <w:b/>
          <w:color w:val="525866"/>
          <w:sz w:val="22"/>
        </w:rPr>
        <w:t>~14% YoY</w:t>
      </w:r>
      <w:r>
        <w:rPr>
          <w:rFonts w:ascii="Calibri" w:hAnsi="Calibri"/>
          <w:color w:val="525866"/>
          <w:sz w:val="22"/>
        </w:rPr>
        <w:t xml:space="preserve"> (inclusive of Brex and Corporate Card), with the “significant majority” of the increase from organic growth acceleration. Revolve rates stabilized near pre-pandemic levels.</w:t>
      </w:r>
    </w:p>
    <w:p>
      <w:pPr>
        <w:pStyle w:val="ListBullet"/>
        <w:ind w:left="360" w:hanging="360"/>
      </w:pPr>
      <w:r>
        <w:rPr>
          <w:rFonts w:ascii="Calibri" w:hAnsi="Calibri"/>
          <w:color w:val="525866"/>
          <w:sz w:val="22"/>
        </w:rPr>
        <w:t xml:space="preserve">Credit quality: Domestic card charge-off rate of </w:t>
      </w:r>
      <w:r>
        <w:rPr>
          <w:rFonts w:ascii="Calibri" w:hAnsi="Calibri"/>
          <w:b/>
          <w:color w:val="525866"/>
          <w:sz w:val="22"/>
        </w:rPr>
        <w:t>4.71%</w:t>
      </w:r>
      <w:r>
        <w:rPr>
          <w:rFonts w:ascii="Calibri" w:hAnsi="Calibri"/>
          <w:color w:val="525866"/>
          <w:sz w:val="22"/>
        </w:rPr>
        <w:t>, down 39bps QoQ and 54bps YoY. Delinquency rate of 3.39%, down 31bps QoQ. Allowance release of $662M. June delinquencies moved in line with seasonality. 2024 and 2025 origination vintages performing better than 2022–23 and near pre-pandemic levels.</w:t>
      </w:r>
    </w:p>
    <w:p>
      <w:pPr>
        <w:pStyle w:val="ListBullet"/>
        <w:ind w:left="360" w:hanging="360"/>
      </w:pPr>
      <w:r>
        <w:rPr>
          <w:rFonts w:ascii="Calibri" w:hAnsi="Calibri"/>
          <w:color w:val="525866"/>
          <w:sz w:val="22"/>
        </w:rPr>
        <w:t>Premium competition: COF is actively investing in its “Heavy Spender franchise at the top of the market,” including rewards lounges and premium experiences — a direct competitive signal for AXP’s core premium card base. However, COF’s CEO noted the “originated upmarket part of Capital One is absolutely humming,” suggesting the premium market is growing fast enough to accommodate multiple players.</w:t>
      </w:r>
    </w:p>
    <w:p>
      <w:pPr>
        <w:pStyle w:val="ListBullet"/>
        <w:ind w:left="360" w:hanging="360"/>
      </w:pPr>
      <w:r>
        <w:rPr>
          <w:rFonts w:ascii="Calibri" w:hAnsi="Calibri"/>
          <w:color w:val="525866"/>
          <w:sz w:val="22"/>
        </w:rPr>
        <w:t xml:space="preserve">At the Morgan Stanley conference (June 9), CEO Fairbank noted that for the industry, “credit has kind of settled out and maybe coming in a little bit at least consistent with seasonality, if not slightly better recently” — a </w:t>
      </w:r>
      <w:r>
        <w:rPr>
          <w:rFonts w:ascii="Calibri" w:hAnsi="Calibri"/>
          <w:b/>
          <w:color w:val="525866"/>
          <w:sz w:val="22"/>
        </w:rPr>
        <w:t>positive read-through for AXP’s stable credit guidance</w:t>
      </w:r>
      <w:r>
        <w:rPr>
          <w:rFonts w:ascii="Calibri" w:hAnsi="Calibri"/>
          <w:color w:val="525866"/>
          <w:sz w:val="22"/>
        </w:rPr>
        <w:t>.</w:t>
      </w:r>
    </w:p>
    <w:p>
      <w:pPr>
        <w:pStyle w:val="Heading3"/>
      </w:pPr>
      <w:r>
        <w:rPr>
          <w:rFonts w:ascii="Calibri" w:hAnsi="Calibri"/>
          <w:b/>
          <w:color w:val="3B4259"/>
          <w:sz w:val="24"/>
        </w:rPr>
        <w:t>Synchrony Financial (SYF) — Q2 2026 Earnings (July 21, 2026) &amp; Morgan Stanley Financials Conference (June 9, 2026)</w:t>
      </w:r>
    </w:p>
    <w:p>
      <w:r>
        <w:rPr>
          <w:rFonts w:ascii="Calibri" w:hAnsi="Calibri"/>
          <w:b/>
          <w:color w:val="30A46C"/>
          <w:sz w:val="22"/>
        </w:rPr>
        <w:t xml:space="preserve">Read-Through: </w:t>
      </w:r>
      <w:r>
        <w:rPr>
          <w:rFonts w:ascii="Calibri" w:hAnsi="Calibri"/>
          <w:color w:val="525866"/>
          <w:sz w:val="22"/>
        </w:rPr>
        <w:t xml:space="preserve"> Positive for consumer spending resilience and discretionary demand.</w:t>
      </w:r>
    </w:p>
    <w:p>
      <w:pPr>
        <w:pStyle w:val="ListBullet"/>
        <w:ind w:left="360" w:hanging="360"/>
      </w:pPr>
      <w:r>
        <w:rPr>
          <w:rFonts w:ascii="Calibri" w:hAnsi="Calibri"/>
          <w:color w:val="525866"/>
          <w:sz w:val="22"/>
        </w:rPr>
        <w:t xml:space="preserve">Q2 2026 earnings: Purchase volume reached an </w:t>
      </w:r>
      <w:r>
        <w:rPr>
          <w:rFonts w:ascii="Calibri" w:hAnsi="Calibri"/>
          <w:b/>
          <w:color w:val="525866"/>
          <w:sz w:val="22"/>
        </w:rPr>
        <w:t>all-time high of ~$50B</w:t>
      </w:r>
      <w:r>
        <w:rPr>
          <w:rFonts w:ascii="Calibri" w:hAnsi="Calibri"/>
          <w:color w:val="525866"/>
          <w:sz w:val="22"/>
        </w:rPr>
        <w:t>, up +8% YoY, with broad-based growth across all five sales platforms. Management attributed trends to “resilient consumer behavior, likely supported by some benefit from increased tax refunds and lower tax withholdings and strong demand for the value and utility our products deliver.”</w:t>
      </w:r>
    </w:p>
    <w:p>
      <w:pPr>
        <w:pStyle w:val="ListBullet"/>
        <w:ind w:left="360" w:hanging="360"/>
      </w:pPr>
      <w:r>
        <w:rPr>
          <w:rFonts w:ascii="Calibri" w:hAnsi="Calibri"/>
          <w:color w:val="525866"/>
          <w:sz w:val="22"/>
        </w:rPr>
        <w:t xml:space="preserve">Discretionary spending: Partner discretionary spend grew in line with non-discretionary, both up double digits despite elevated fuel prices. Particular strength in </w:t>
      </w:r>
      <w:r>
        <w:rPr>
          <w:rFonts w:ascii="Calibri" w:hAnsi="Calibri"/>
          <w:b/>
          <w:color w:val="525866"/>
          <w:sz w:val="22"/>
        </w:rPr>
        <w:t>entertainment, retail, electronics, and luxury</w:t>
      </w:r>
      <w:r>
        <w:rPr>
          <w:rFonts w:ascii="Calibri" w:hAnsi="Calibri"/>
          <w:color w:val="525866"/>
          <w:sz w:val="22"/>
        </w:rPr>
        <w:t xml:space="preserve"> — categories that overlap with AXP’s premium card member spending profile.</w:t>
      </w:r>
    </w:p>
    <w:p>
      <w:pPr>
        <w:pStyle w:val="ListBullet"/>
        <w:ind w:left="360" w:hanging="360"/>
      </w:pPr>
      <w:r>
        <w:rPr>
          <w:rFonts w:ascii="Calibri" w:hAnsi="Calibri"/>
          <w:color w:val="525866"/>
          <w:sz w:val="22"/>
        </w:rPr>
        <w:t xml:space="preserve">Credit quality: Net charge-off rate of </w:t>
      </w:r>
      <w:r>
        <w:rPr>
          <w:rFonts w:ascii="Calibri" w:hAnsi="Calibri"/>
          <w:b/>
          <w:color w:val="525866"/>
          <w:sz w:val="22"/>
        </w:rPr>
        <w:t>5.43%</w:t>
      </w:r>
      <w:r>
        <w:rPr>
          <w:rFonts w:ascii="Calibri" w:hAnsi="Calibri"/>
          <w:color w:val="525866"/>
          <w:sz w:val="22"/>
        </w:rPr>
        <w:t>, down 27bps YoY. 30+ and 90+ delinquency rates generally in line with prior year. Full-year NCO guidance maintained at &lt;5.5%. Allowance coverage ratio declined 33bps QoQ to 10.09%, reflecting continued favorable observed credit.</w:t>
      </w:r>
    </w:p>
    <w:p>
      <w:pPr>
        <w:pStyle w:val="ListBullet"/>
        <w:ind w:left="360" w:hanging="360"/>
      </w:pPr>
      <w:r>
        <w:rPr>
          <w:rFonts w:ascii="Calibri" w:hAnsi="Calibri"/>
          <w:color w:val="525866"/>
          <w:sz w:val="22"/>
        </w:rPr>
        <w:t>CFO noted that while consumers may express lower confidence due to higher gas prices and inflation, “it hasn’t really reflected in the action” — discretionary spending trend was “solid to accelerate throughout the quarter.” Directly supportive of AXP’s premium spend thesis.</w:t>
      </w:r>
    </w:p>
    <w:p>
      <w:r>
        <w:rPr>
          <w:rFonts w:ascii="Calibri" w:hAnsi="Calibri"/>
          <w:b/>
          <w:color w:val="525866"/>
          <w:sz w:val="22"/>
        </w:rPr>
        <w:t xml:space="preserve">Aggregate Peer Read-Through Summary: </w:t>
      </w:r>
      <w:r>
        <w:rPr>
          <w:rFonts w:ascii="Calibri" w:hAnsi="Calibri"/>
          <w:color w:val="525866"/>
          <w:sz w:val="22"/>
        </w:rPr>
        <w:t>Across all five peers reporting Q2 2026 results or providing Q2 commentary, the consistent themes are: (1) consumer spending accelerated into Q2 aided by tax refunds and a resilient labor market; (2) credit quality improved or held stable, with delinquencies trending better than or in line with seasonality; (3) the premium/affluent segment outperformed; and (4) Middle East travel disruptions were transitory and largely resolved by May. All four themes are directly supportive of AXP’s Q2 setup.</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GBT stake sale announcement</w:t>
      </w:r>
      <w:r>
        <w:rPr>
          <w:rFonts w:ascii="Calibri" w:hAnsi="Calibri"/>
          <w:color w:val="525866"/>
          <w:sz w:val="22"/>
        </w:rPr>
        <w:t xml:space="preserve"> (May 4), which will generate a ~$975M pre-tax gain excluded from guidance and signals significant capital redeployment capacity. The Bernstein conference QTD spend disclosure is the most important forward-looking signal for the Q2 print.</w:t>
      </w:r>
    </w:p>
    <w:p>
      <w:pPr>
        <w:pStyle w:val="ListBullet"/>
        <w:ind w:left="360" w:hanging="360"/>
      </w:pPr>
      <w:r>
        <w:rPr>
          <w:rFonts w:ascii="Calibri" w:hAnsi="Calibri"/>
          <w:b/>
          <w:color w:val="525866"/>
          <w:sz w:val="22"/>
        </w:rPr>
        <w:t xml:space="preserve">May 28, 2026 — Bernstein Strategic Decisions Conference: </w:t>
      </w:r>
      <w:r>
        <w:rPr>
          <w:rFonts w:ascii="Calibri" w:hAnsi="Calibri"/>
          <w:color w:val="525866"/>
          <w:sz w:val="22"/>
        </w:rPr>
        <w:t xml:space="preserve">Management disclosed that Q2 QTD billed business growth is running </w:t>
      </w:r>
      <w:r>
        <w:rPr>
          <w:rFonts w:ascii="Calibri" w:hAnsi="Calibri"/>
          <w:b/>
          <w:color w:val="525866"/>
          <w:sz w:val="22"/>
        </w:rPr>
        <w:t>slightly ahead of Q1’s 10% level</w:t>
      </w:r>
      <w:r>
        <w:rPr>
          <w:rFonts w:ascii="Calibri" w:hAnsi="Calibri"/>
          <w:color w:val="525866"/>
          <w:sz w:val="22"/>
        </w:rPr>
        <w:t>, airline spending recovered to strong growth in April, and credit metrics remain stable and consistent with recent quarters. This is the most important inter-quarter signal for the Q2 print and implies the revenue guide is tracking toward the upper half of the 9–10% range.</w:t>
      </w:r>
    </w:p>
    <w:p>
      <w:pPr>
        <w:pStyle w:val="ListBullet"/>
        <w:ind w:left="360" w:hanging="360"/>
      </w:pPr>
      <w:r>
        <w:rPr>
          <w:rFonts w:ascii="Calibri" w:hAnsi="Calibri"/>
          <w:b/>
          <w:color w:val="525866"/>
          <w:sz w:val="22"/>
        </w:rPr>
        <w:t xml:space="preserve">May 4, 2026 — GBT Stake Sale Announced (8-K): </w:t>
      </w:r>
      <w:r>
        <w:rPr>
          <w:rFonts w:ascii="Calibri" w:hAnsi="Calibri"/>
          <w:color w:val="525866"/>
          <w:sz w:val="22"/>
        </w:rPr>
        <w:t xml:space="preserve">AXP announced the sale of its ~30% equity stake in Amex GBT (the corporate business travel entity, distinct from AXP’s consumer travel business) as part of a take-private transaction, expected to generate a </w:t>
      </w:r>
      <w:r>
        <w:rPr>
          <w:rFonts w:ascii="Calibri" w:hAnsi="Calibri"/>
          <w:b/>
          <w:color w:val="525866"/>
          <w:sz w:val="22"/>
        </w:rPr>
        <w:t>~$975M pre-tax gain</w:t>
      </w:r>
      <w:r>
        <w:rPr>
          <w:rFonts w:ascii="Calibri" w:hAnsi="Calibri"/>
          <w:color w:val="525866"/>
          <w:sz w:val="22"/>
        </w:rPr>
        <w:t>. The gain is explicitly excluded from 2026 guidance. Management has signaled intent to redeploy proceeds primarily into incremental technology investment and card acquisition. Implication: significant capital redeployment optionality that could accelerate growth investments or shareholder returns.</w:t>
      </w:r>
    </w:p>
    <w:p>
      <w:pPr>
        <w:pStyle w:val="ListBullet"/>
        <w:ind w:left="360" w:hanging="360"/>
      </w:pPr>
      <w:r>
        <w:rPr>
          <w:rFonts w:ascii="Calibri" w:hAnsi="Calibri"/>
          <w:b/>
          <w:color w:val="525866"/>
          <w:sz w:val="22"/>
        </w:rPr>
        <w:t xml:space="preserve">July 15, 2026 — June Credit Statistics (8-K): </w:t>
      </w:r>
      <w:r>
        <w:rPr>
          <w:rFonts w:ascii="Calibri" w:hAnsi="Calibri"/>
          <w:color w:val="525866"/>
          <w:sz w:val="22"/>
        </w:rPr>
        <w:t xml:space="preserve">Q2 USCS net write-off rate (principal only) was </w:t>
      </w:r>
      <w:r>
        <w:rPr>
          <w:rFonts w:ascii="Calibri" w:hAnsi="Calibri"/>
          <w:b/>
          <w:color w:val="525866"/>
          <w:sz w:val="22"/>
        </w:rPr>
        <w:t>1.8% for the three months ended June 30</w:t>
      </w:r>
      <w:r>
        <w:rPr>
          <w:rFonts w:ascii="Calibri" w:hAnsi="Calibri"/>
          <w:color w:val="525866"/>
          <w:sz w:val="22"/>
        </w:rPr>
        <w:t xml:space="preserve"> (vs. 1.9% in Q1 2026 and 1.9% in Q2 2025). Note: June monthly rate was 1.4%, aided by ~0.3% reduction from a sale of previously written-off card balances to a third party. Delinquency rate of 1.1% for June, down from 1.2% in April. Total consumer + small business card balances of $159.7B as of June 30. Implication: credit quality is tracking at or better than consensus expectations heading into the print.</w:t>
      </w:r>
    </w:p>
    <w:p>
      <w:pPr>
        <w:pStyle w:val="ListBullet"/>
        <w:ind w:left="360" w:hanging="360"/>
      </w:pPr>
      <w:r>
        <w:rPr>
          <w:rFonts w:ascii="Calibri" w:hAnsi="Calibri"/>
          <w:b/>
          <w:color w:val="525866"/>
          <w:sz w:val="22"/>
        </w:rPr>
        <w:t xml:space="preserve">June 15, 2026 — May Credit Statistics (8-K): </w:t>
      </w:r>
      <w:r>
        <w:rPr>
          <w:rFonts w:ascii="Calibri" w:hAnsi="Calibri"/>
          <w:color w:val="525866"/>
          <w:sz w:val="22"/>
        </w:rPr>
        <w:t>USCS net write-off rate of 2.0% for May (vs. 2.1% in April). Delinquency rate improved to 1.1% in May from 1.2% in April. Total consumer + small business balances of $160.5B as of May 31. Implication: consistent with stable credit guidance; no deterioration.</w:t>
      </w:r>
    </w:p>
    <w:p>
      <w:pPr>
        <w:pStyle w:val="ListBullet"/>
        <w:ind w:left="360" w:hanging="360"/>
      </w:pPr>
      <w:r>
        <w:rPr>
          <w:rFonts w:ascii="Calibri" w:hAnsi="Calibri"/>
          <w:b/>
          <w:color w:val="525866"/>
          <w:sz w:val="22"/>
        </w:rPr>
        <w:t xml:space="preserve">May 15, 2026 — April Credit Statistics (8-K): </w:t>
      </w:r>
      <w:r>
        <w:rPr>
          <w:rFonts w:ascii="Calibri" w:hAnsi="Calibri"/>
          <w:color w:val="525866"/>
          <w:sz w:val="22"/>
        </w:rPr>
        <w:t>USCS net write-off rate of 2.1% for April (vs. 2.0% in March). Delinquency rate of 1.2%, down from 1.3% in March. Total consumer + small business balances of $157.2B as of April 30. Implication: early Q2 credit data showed a modest seasonal uptick in write-offs but improving delinquencies — consistent with management’s stable credit guidance.</w:t>
      </w:r>
    </w:p>
    <w:p>
      <w:pPr>
        <w:pStyle w:val="ListBullet"/>
        <w:ind w:left="360" w:hanging="360"/>
      </w:pPr>
      <w:r>
        <w:rPr>
          <w:rFonts w:ascii="Calibri" w:hAnsi="Calibri"/>
          <w:b/>
          <w:color w:val="525866"/>
          <w:sz w:val="22"/>
        </w:rPr>
        <w:t xml:space="preserve">June 25, 2026 — Dodd-Frank Stress Test Results (8-K): </w:t>
      </w:r>
      <w:r>
        <w:rPr>
          <w:rFonts w:ascii="Calibri" w:hAnsi="Calibri"/>
          <w:color w:val="525866"/>
          <w:sz w:val="22"/>
        </w:rPr>
        <w:t>AXP disclosed its 2026 stress test results. Management had previously characterized the reproposed Basel III capital rules as a “small upside to neutral” impact. Implication: no material change to capital management approach expected; continued buyback and dividend capacity.</w:t>
      </w:r>
    </w:p>
    <w:p>
      <w:pPr>
        <w:pStyle w:val="ListBullet"/>
        <w:ind w:left="360" w:hanging="360"/>
      </w:pPr>
      <w:r>
        <w:rPr>
          <w:rFonts w:ascii="Calibri" w:hAnsi="Calibri"/>
          <w:b/>
          <w:color w:val="525866"/>
          <w:sz w:val="22"/>
        </w:rPr>
        <w:t xml:space="preserve">June 17, 2026 — €750M Euro Debt Issuance (8-K): </w:t>
      </w:r>
      <w:r>
        <w:rPr>
          <w:rFonts w:ascii="Calibri" w:hAnsi="Calibri"/>
          <w:color w:val="525866"/>
          <w:sz w:val="22"/>
        </w:rPr>
        <w:t>AXP issued €750M in new notes. Implication: routine liability management; supports international funding diversification.</w:t>
      </w:r>
    </w:p>
    <w:p>
      <w:pPr>
        <w:pStyle w:val="ListBullet"/>
        <w:ind w:left="360" w:hanging="360"/>
      </w:pPr>
      <w:r>
        <w:rPr>
          <w:rFonts w:ascii="Calibri" w:hAnsi="Calibri"/>
          <w:b/>
          <w:color w:val="525866"/>
          <w:sz w:val="22"/>
        </w:rPr>
        <w:t xml:space="preserve">May 4, 2026 — $1.75B Senior/Subordinated Notes Issuance (8-K): </w:t>
      </w:r>
      <w:r>
        <w:rPr>
          <w:rFonts w:ascii="Calibri" w:hAnsi="Calibri"/>
          <w:color w:val="525866"/>
          <w:sz w:val="22"/>
        </w:rPr>
        <w:t>AXP issued $1.75B in new notes. Implication: routine capital markets activity; no material impact on guidance.</w:t>
      </w:r>
    </w:p>
    <w:p>
      <w:pPr>
        <w:pStyle w:val="ListBullet"/>
        <w:ind w:left="360" w:hanging="360"/>
      </w:pPr>
      <w:r>
        <w:rPr>
          <w:rFonts w:ascii="Calibri" w:hAnsi="Calibri"/>
          <w:b/>
          <w:color w:val="525866"/>
          <w:sz w:val="22"/>
        </w:rPr>
        <w:t xml:space="preserve">March 2, 2026 — Quarterly Dividend Increased +15.85% (8-K): </w:t>
      </w:r>
      <w:r>
        <w:rPr>
          <w:rFonts w:ascii="Calibri" w:hAnsi="Calibri"/>
          <w:color w:val="525866"/>
          <w:sz w:val="22"/>
        </w:rPr>
        <w:t>AXP raised its quarterly dividend by 15.85%, signaling strong confidence in earnings sustainability and capital generation. Implication: management’s most explicit signal of confidence in the mid-teens EPS growth trajectory.</w:t>
      </w:r>
    </w:p>
    <w:p>
      <w:pPr>
        <w:pStyle w:val="ListBullet"/>
        <w:ind w:left="360" w:hanging="360"/>
      </w:pPr>
      <w:r>
        <w:rPr>
          <w:rFonts w:ascii="Calibri" w:hAnsi="Calibri"/>
          <w:b/>
          <w:color w:val="525866"/>
          <w:sz w:val="22"/>
        </w:rPr>
        <w:t xml:space="preserve">February 25, 2026 — New Headquarters Announced (8-K): </w:t>
      </w:r>
      <w:r>
        <w:rPr>
          <w:rFonts w:ascii="Calibri" w:hAnsi="Calibri"/>
          <w:color w:val="525866"/>
          <w:sz w:val="22"/>
        </w:rPr>
        <w:t>AXP announced plans to build a new 1.95 million sq ft headquarters at the World Trade Center site. Implication: long-term commitment to New York City operations; modest near-term capital expenditure signal.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print. All Form 4 activity consists of routine director compensation awards (transaction code “A”) and one executive sale that appears to be a discretionary open-market transaction. </w:t>
      </w:r>
      <w:r>
        <w:rPr>
          <w:rFonts w:ascii="Calibri" w:hAnsi="Calibri"/>
          <w:b/>
          <w:color w:val="525866"/>
          <w:sz w:val="22"/>
        </w:rPr>
        <w:t>The absence of insider selling by the CEO, CFO, or other senior executives is a mild positive signal</w:t>
      </w:r>
      <w:r>
        <w:rPr>
          <w:rFonts w:ascii="Calibri" w:hAnsi="Calibri"/>
          <w:color w:val="525866"/>
          <w:sz w:val="22"/>
        </w:rPr>
        <w:t>; the one notable open-market sale was by the Chief Partner Officer in mid-June.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Units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McNeal, Glenda G</w:t>
            </w:r>
          </w:p>
        </w:tc>
        <w:tc>
          <w:tcPr>
            <w:tcW w:type="dxa" w:w="1440"/>
          </w:tcPr>
          <w:p>
            <w:r>
              <w:rPr>
                <w:rFonts w:ascii="Calibri" w:hAnsi="Calibri"/>
                <w:sz w:val="22"/>
              </w:rPr>
              <w:t>Chief Partner Officer</w:t>
            </w:r>
          </w:p>
        </w:tc>
        <w:tc>
          <w:tcPr>
            <w:tcW w:type="dxa" w:w="1440"/>
          </w:tcPr>
          <w:p>
            <w:r>
              <w:rPr>
                <w:rFonts w:ascii="Calibri" w:hAnsi="Calibri"/>
                <w:sz w:val="22"/>
              </w:rPr>
              <w:t>Open Market Sale</w:t>
            </w:r>
          </w:p>
        </w:tc>
        <w:tc>
          <w:tcPr>
            <w:tcW w:type="dxa" w:w="1440"/>
          </w:tcPr>
          <w:p>
            <w:r>
              <w:rPr>
                <w:rFonts w:ascii="Calibri" w:hAnsi="Calibri"/>
                <w:sz w:val="22"/>
              </w:rPr>
              <w:t>7,033 shares</w:t>
            </w:r>
          </w:p>
        </w:tc>
        <w:tc>
          <w:tcPr>
            <w:tcW w:type="dxa" w:w="1440"/>
          </w:tcPr>
          <w:p>
            <w:r>
              <w:rPr>
                <w:rFonts w:ascii="Calibri" w:hAnsi="Calibri"/>
                <w:sz w:val="22"/>
              </w:rPr>
              <w:t>June 15, 2026</w:t>
            </w:r>
          </w:p>
        </w:tc>
        <w:tc>
          <w:tcPr>
            <w:tcW w:type="dxa" w:w="1440"/>
          </w:tcPr>
          <w:p>
            <w:r>
              <w:rPr>
                <w:rFonts w:ascii="Calibri" w:hAnsi="Calibri"/>
                <w:sz w:val="22"/>
              </w:rPr>
              <w:t>Discretionary sale; no 10b5-1 plan flag in data. Only executive open-market sale in the period.</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Compensation Award (Code A)</w:t>
            </w:r>
          </w:p>
        </w:tc>
        <w:tc>
          <w:tcPr>
            <w:tcW w:type="dxa" w:w="1440"/>
          </w:tcPr>
          <w:p>
            <w:r>
              <w:rPr>
                <w:rFonts w:ascii="Calibri" w:hAnsi="Calibri"/>
                <w:sz w:val="22"/>
              </w:rPr>
              <w:t>54–199 Share Equivalent Units each</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in Share Equivalent Units; not open-market purchases.</w:t>
            </w:r>
          </w:p>
        </w:tc>
      </w:tr>
      <w:tr>
        <w:tc>
          <w:tcPr>
            <w:tcW w:type="dxa" w:w="1440"/>
          </w:tcPr>
          <w:p>
            <w:r>
              <w:rPr>
                <w:rFonts w:ascii="Calibri" w:hAnsi="Calibri"/>
                <w:sz w:val="22"/>
              </w:rPr>
              <w:t>Multiple Directors (11 individuals)</w:t>
            </w:r>
          </w:p>
        </w:tc>
        <w:tc>
          <w:tcPr>
            <w:tcW w:type="dxa" w:w="1440"/>
          </w:tcPr>
          <w:p>
            <w:r>
              <w:rPr>
                <w:rFonts w:ascii="Calibri" w:hAnsi="Calibri"/>
                <w:sz w:val="22"/>
              </w:rPr>
              <w:t>Board of Directors</w:t>
            </w:r>
          </w:p>
        </w:tc>
        <w:tc>
          <w:tcPr>
            <w:tcW w:type="dxa" w:w="1440"/>
          </w:tcPr>
          <w:p>
            <w:r>
              <w:rPr>
                <w:rFonts w:ascii="Calibri" w:hAnsi="Calibri"/>
                <w:sz w:val="22"/>
              </w:rPr>
              <w:t>Compensation Award (Code A)</w:t>
            </w:r>
          </w:p>
        </w:tc>
        <w:tc>
          <w:tcPr>
            <w:tcW w:type="dxa" w:w="1440"/>
          </w:tcPr>
          <w:p>
            <w:r>
              <w:rPr>
                <w:rFonts w:ascii="Calibri" w:hAnsi="Calibri"/>
                <w:sz w:val="22"/>
              </w:rPr>
              <w:t>742 Share Equivalent Units each</w:t>
            </w:r>
          </w:p>
        </w:tc>
        <w:tc>
          <w:tcPr>
            <w:tcW w:type="dxa" w:w="1440"/>
          </w:tcPr>
          <w:p>
            <w:r>
              <w:rPr>
                <w:rFonts w:ascii="Calibri" w:hAnsi="Calibri"/>
                <w:sz w:val="22"/>
              </w:rPr>
              <w:t>May 5, 2026</w:t>
            </w:r>
          </w:p>
        </w:tc>
        <w:tc>
          <w:tcPr>
            <w:tcW w:type="dxa" w:w="1440"/>
          </w:tcPr>
          <w:p>
            <w:r>
              <w:rPr>
                <w:rFonts w:ascii="Calibri" w:hAnsi="Calibri"/>
                <w:sz w:val="22"/>
              </w:rPr>
              <w:t>Routine annual director compensation in Share Equivalent Units; not open-market purchases.</w:t>
            </w:r>
          </w:p>
        </w:tc>
      </w:tr>
    </w:tbl>
    <w:p>
      <w:r>
        <w:rPr>
          <w:rFonts w:ascii="Calibri" w:hAnsi="Calibri"/>
          <w:color w:val="525866"/>
          <w:sz w:val="22"/>
        </w:rPr>
        <w:t>All Form 4 activity in the period consists of routine director compensation awards (transaction code “A” — grants, not open-market purchases) and one open-market sale by the Chief Partner Officer (Glenda McNeal, 7,033 shares on June 15, 2026). There are no open-market buys by any insider, and no discretionary sales by the CEO, CFO, or other C-suite executives. The absence of executive selling ahead of earnings is a mild positive signal, though the sample size is small. The McNeal sale is the only transaction that warrants monitoring; it does not appear to be part of a disclosed 10b5-1 plan based on available data. Source: Insider Transaction Data (SEC Form 4 filings).</w:t>
      </w:r>
    </w:p>
    <w:p>
      <w:r>
        <w:rPr>
          <w:rFonts w:ascii="Calibri" w:hAnsi="Calibri"/>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