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American Express Company (AXP)</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AXP</w:t>
            </w:r>
          </w:p>
        </w:tc>
        <w:tc>
          <w:tcPr>
            <w:tcW w:type="dxa" w:w="2160"/>
          </w:tcPr>
          <w:p>
            <w:r>
              <w:rPr>
                <w:rFonts w:ascii="Calibri" w:hAnsi="Calibri"/>
                <w:b/>
                <w:sz w:val="22"/>
              </w:rPr>
              <w:t>Earnings Date</w:t>
            </w:r>
          </w:p>
        </w:tc>
        <w:tc>
          <w:tcPr>
            <w:tcW w:type="dxa" w:w="2160"/>
          </w:tcPr>
          <w:p>
            <w:r>
              <w:rPr>
                <w:rFonts w:ascii="Calibri" w:hAnsi="Calibri"/>
                <w:sz w:val="22"/>
              </w:rPr>
              <w:t>July 24, 2026 (Pre-Market)</w:t>
            </w:r>
          </w:p>
        </w:tc>
      </w:tr>
      <w:tr>
        <w:tc>
          <w:tcPr>
            <w:tcW w:type="dxa" w:w="2160"/>
          </w:tcPr>
          <w:p>
            <w:r>
              <w:rPr>
                <w:rFonts w:ascii="Calibri" w:hAnsi="Calibri"/>
                <w:b/>
                <w:sz w:val="22"/>
              </w:rPr>
              <w:t>Sector</w:t>
            </w:r>
          </w:p>
        </w:tc>
        <w:tc>
          <w:tcPr>
            <w:tcW w:type="dxa" w:w="2160"/>
          </w:tcPr>
          <w:p>
            <w:r>
              <w:rPr>
                <w:rFonts w:ascii="Calibri" w:hAnsi="Calibri"/>
                <w:sz w:val="22"/>
              </w:rPr>
              <w:t>Financials — Consumer Finance / Payments</w:t>
            </w:r>
          </w:p>
        </w:tc>
        <w:tc>
          <w:tcPr>
            <w:tcW w:type="dxa" w:w="2160"/>
          </w:tcPr>
          <w:p>
            <w:r>
              <w:rPr>
                <w:rFonts w:ascii="Calibri" w:hAnsi="Calibri"/>
                <w:b/>
                <w:sz w:val="22"/>
              </w:rPr>
              <w:t>Prepared</w:t>
            </w:r>
          </w:p>
        </w:tc>
        <w:tc>
          <w:tcPr>
            <w:tcW w:type="dxa" w:w="2160"/>
          </w:tcPr>
          <w:p>
            <w:r>
              <w:rPr>
                <w:rFonts w:ascii="Calibri" w:hAnsi="Calibri"/>
                <w:sz w:val="22"/>
              </w:rPr>
              <w:t>July 23, 2026</w:t>
            </w:r>
          </w:p>
        </w:tc>
      </w:tr>
      <w:tr>
        <w:tc>
          <w:tcPr>
            <w:tcW w:type="dxa" w:w="2160"/>
          </w:tcPr>
          <w:p>
            <w:r>
              <w:rPr>
                <w:rFonts w:ascii="Calibri" w:hAnsi="Calibri"/>
                <w:b/>
                <w:sz w:val="22"/>
              </w:rPr>
              <w:t>Reporting Period</w:t>
            </w:r>
          </w:p>
        </w:tc>
        <w:tc>
          <w:tcPr>
            <w:tcW w:type="dxa" w:w="2160"/>
          </w:tcPr>
          <w:p>
            <w:r>
              <w:rPr>
                <w:rFonts w:ascii="Calibri" w:hAnsi="Calibri"/>
                <w:sz w:val="22"/>
              </w:rPr>
              <w:t>Q2 2026 (ended June 30, 2026)</w:t>
            </w:r>
          </w:p>
        </w:tc>
        <w:tc>
          <w:tcPr>
            <w:tcW w:type="dxa" w:w="2160"/>
          </w:tcPr>
          <w:p>
            <w:r>
              <w:rPr>
                <w:rFonts w:ascii="Calibri" w:hAnsi="Calibri"/>
                <w:b/>
                <w:sz w:val="22"/>
              </w:rPr>
              <w:t>Sector ETF Benchmark</w:t>
            </w:r>
          </w:p>
        </w:tc>
        <w:tc>
          <w:tcPr>
            <w:tcW w:type="dxa" w:w="2160"/>
          </w:tcPr>
          <w:p>
            <w:r>
              <w:rPr>
                <w:rFonts w:ascii="Calibri" w:hAnsi="Calibri"/>
                <w:sz w:val="22"/>
              </w:rPr>
              <w:t>XLF (Financial Select Sector SPDR)</w:t>
            </w:r>
          </w:p>
        </w:tc>
      </w:tr>
      <w:tr>
        <w:tc>
          <w:tcPr>
            <w:tcW w:type="dxa" w:w="2160"/>
          </w:tcPr>
          <w:p>
            <w:r>
              <w:rPr>
                <w:rFonts w:ascii="Calibri" w:hAnsi="Calibri"/>
                <w:b/>
                <w:sz w:val="22"/>
              </w:rPr>
              <w:t>Last Earnings</w:t>
            </w:r>
          </w:p>
        </w:tc>
        <w:tc>
          <w:tcPr>
            <w:tcW w:type="dxa" w:w="2160"/>
          </w:tcPr>
          <w:p>
            <w:r>
              <w:rPr>
                <w:rFonts w:ascii="Calibri" w:hAnsi="Calibri"/>
                <w:sz w:val="22"/>
              </w:rPr>
              <w:t>April 23, 2026 (Q1 2026)</w:t>
            </w:r>
          </w:p>
        </w:tc>
        <w:tc>
          <w:tcPr>
            <w:tcW w:type="dxa" w:w="2160"/>
          </w:tcPr>
          <w:p>
            <w:r>
              <w:rPr>
                <w:rFonts w:ascii="Calibri" w:hAnsi="Calibri"/>
                <w:b/>
                <w:sz w:val="22"/>
              </w:rPr>
              <w:t>FY 2026 EPS Guidance</w:t>
            </w:r>
          </w:p>
        </w:tc>
        <w:tc>
          <w:tcPr>
            <w:tcW w:type="dxa" w:w="2160"/>
          </w:tcPr>
          <w:p>
            <w:r>
              <w:rPr>
                <w:rFonts w:ascii="Calibri" w:hAnsi="Calibri"/>
                <w:sz w:val="22"/>
              </w:rPr>
              <w:t>$17.30 – $17.90 (midpoint $17.60)</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 xml:space="preserve">The setup favors a beat — management guided Q2 quarter-to-date billed business growth to run </w:t>
      </w:r>
      <w:r>
        <w:rPr>
          <w:rFonts w:ascii="Calibri" w:hAnsi="Calibri"/>
          <w:b/>
          <w:color w:val="525866"/>
          <w:sz w:val="22"/>
        </w:rPr>
        <w:t>slightly ahead of Q1's three-year-high 10% pace</w:t>
      </w:r>
      <w:r>
        <w:rPr>
          <w:rFonts w:ascii="Calibri" w:hAnsi="Calibri"/>
          <w:color w:val="525866"/>
          <w:sz w:val="22"/>
        </w:rPr>
        <w:t xml:space="preserve">, credit metrics remain pristine, and consensus EPS of ~$4.41 sits modestly above the post-Q1 baseline, leaving room for another reinvestment-funded outperformance; the single biggest swing factor is whether the </w:t>
      </w:r>
      <w:r>
        <w:rPr>
          <w:rFonts w:ascii="Calibri" w:hAnsi="Calibri"/>
          <w:b/>
          <w:color w:val="525866"/>
          <w:sz w:val="22"/>
        </w:rPr>
        <w:t>~$975M pre-tax GBT stake-sale gain</w:t>
      </w:r>
      <w:r>
        <w:rPr>
          <w:rFonts w:ascii="Calibri" w:hAnsi="Calibri"/>
          <w:color w:val="525866"/>
          <w:sz w:val="22"/>
        </w:rPr>
        <w:t xml:space="preserve"> closes in Q2 and how management chooses to deploy it.</w:t>
      </w:r>
    </w:p>
    <w:p>
      <w:r>
        <w:rPr>
          <w:rFonts w:ascii="Calibri" w:hAnsi="Calibri"/>
          <w:color w:val="525866"/>
          <w:sz w:val="22"/>
        </w:rPr>
        <w:t xml:space="preserve">Heading into the Q2 2026 print, American Express carries the strongest fundamental momentum it has seen in years. </w:t>
      </w:r>
      <w:r>
        <w:rPr>
          <w:rFonts w:ascii="Calibri" w:hAnsi="Calibri"/>
          <w:b/>
          <w:color w:val="525866"/>
          <w:sz w:val="22"/>
        </w:rPr>
        <w:t>Billed business growth was running slightly ahead of Q1's 10% FX-adjusted pace quarter-to-date as of late May</w:t>
      </w:r>
      <w:r>
        <w:rPr>
          <w:rFonts w:ascii="Calibri" w:hAnsi="Calibri"/>
          <w:color w:val="525866"/>
          <w:sz w:val="22"/>
        </w:rPr>
        <w:t xml:space="preserve">, with airline spending recovering to 9% growth in April after late-March softness tied to Middle East travel disruptions — removing the one overhang that rattled investors on the Q1 call. The bar is not particularly demanding: consensus EPS of ~$4.41 implies roughly 8% sequential growth from Q1's $4.28 beat, and the estimate trajectory has been essentially flat since the post-Q1 baseline, suggesting the Street has not aggressively chased the upside. </w:t>
      </w:r>
      <w:r>
        <w:rPr>
          <w:rFonts w:ascii="Calibri" w:hAnsi="Calibri"/>
          <w:b/>
          <w:color w:val="525866"/>
          <w:sz w:val="22"/>
        </w:rPr>
        <w:t>Management's posture at the Bernstein (May 28) and Morgan Stanley (June 9) conferences was notably confident</w:t>
      </w:r>
      <w:r>
        <w:rPr>
          <w:rFonts w:ascii="Calibri" w:hAnsi="Calibri"/>
          <w:color w:val="525866"/>
          <w:sz w:val="22"/>
        </w:rPr>
        <w:t xml:space="preserve"> — reaffirming 9–10% revenue growth and mid-teens EPS, flagging strength across the portfolio, and describing credit as showing "no inflection point." The stock has recovered from its post-Q1 earnings-day selloff (down ~4% on April 23 despite the beat) and is now roughly flat-to-up since last earnings, suggesting the market has partially re-rated but has not priced in a blowout. The key wildcard is the </w:t>
      </w:r>
      <w:r>
        <w:rPr>
          <w:rFonts w:ascii="Calibri" w:hAnsi="Calibri"/>
          <w:b/>
          <w:color w:val="525866"/>
          <w:sz w:val="22"/>
        </w:rPr>
        <w:t>GBT stake sale: a ~$975M pre-tax gain excluded from guidance</w:t>
      </w:r>
      <w:r>
        <w:rPr>
          <w:rFonts w:ascii="Calibri" w:hAnsi="Calibri"/>
          <w:color w:val="525866"/>
          <w:sz w:val="22"/>
        </w:rPr>
        <w:t xml:space="preserve"> that, if closed in Q2, could create a large one-time EPS tailwind that management has signaled it intends to reinvest — the market's reaction will hinge on whether investors view that reinvestment as value-creating or as another quarter of earnings being "taken away."</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bar across all key metrics — billed business growth of ~$456B implies a modest step-up from Q1, while net card fees of ~$2.90B would mark continued double-digit acceleration. </w:t>
      </w:r>
      <w:r>
        <w:rPr>
          <w:rFonts w:ascii="Calibri" w:hAnsi="Calibri"/>
          <w:b/>
          <w:color w:val="525866"/>
          <w:sz w:val="22"/>
        </w:rPr>
        <w:t>Net card fees and billed business are the two biggest swing factors</w:t>
      </w:r>
      <w:r>
        <w:rPr>
          <w:rFonts w:ascii="Calibri" w:hAnsi="Calibri"/>
          <w:color w:val="525866"/>
          <w:sz w:val="22"/>
        </w:rPr>
        <w:t>; credit metrics are expected to remain best-in-class and are unlikely to surprise in either direction.</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Diluted EPS — Operating ($)</w:t>
            </w:r>
          </w:p>
        </w:tc>
        <w:tc>
          <w:tcPr>
            <w:tcW w:type="dxa" w:w="1234"/>
          </w:tcPr>
          <w:p>
            <w:r>
              <w:rPr>
                <w:rFonts w:ascii="Calibri" w:hAnsi="Calibri"/>
                <w:sz w:val="22"/>
              </w:rPr>
              <w:t>$4.28</w:t>
            </w:r>
          </w:p>
        </w:tc>
        <w:tc>
          <w:tcPr>
            <w:tcW w:type="dxa" w:w="1234"/>
          </w:tcPr>
          <w:p>
            <w:r>
              <w:rPr>
                <w:rFonts w:ascii="Calibri" w:hAnsi="Calibri"/>
                <w:sz w:val="22"/>
              </w:rPr>
              <w:t>$4.08</w:t>
            </w:r>
          </w:p>
        </w:tc>
        <w:tc>
          <w:tcPr>
            <w:tcW w:type="dxa" w:w="1234"/>
          </w:tcPr>
          <w:p>
            <w:r>
              <w:rPr>
                <w:rFonts w:ascii="Calibri" w:hAnsi="Calibri"/>
                <w:sz w:val="22"/>
              </w:rPr>
              <w:t>$4.41</w:t>
            </w:r>
          </w:p>
        </w:tc>
        <w:tc>
          <w:tcPr>
            <w:tcW w:type="dxa" w:w="1234"/>
          </w:tcPr>
          <w:p>
            <w:r>
              <w:rPr>
                <w:rFonts w:ascii="Calibri" w:hAnsi="Calibri"/>
                <w:sz w:val="22"/>
              </w:rPr>
              <w:t>+8.1%</w:t>
            </w:r>
          </w:p>
        </w:tc>
        <w:tc>
          <w:tcPr>
            <w:tcW w:type="dxa" w:w="1234"/>
          </w:tcPr>
          <w:p>
            <w:r>
              <w:rPr>
                <w:rFonts w:ascii="Calibri" w:hAnsi="Calibri"/>
                <w:sz w:val="22"/>
              </w:rPr>
              <w:t>$17.30–$17.90 ($17.60 mid)</w:t>
            </w:r>
          </w:p>
        </w:tc>
        <w:tc>
          <w:tcPr>
            <w:tcW w:type="dxa" w:w="1234"/>
          </w:tcPr>
          <w:p>
            <w:r>
              <w:rPr>
                <w:rFonts w:ascii="Calibri" w:hAnsi="Calibri"/>
                <w:sz w:val="22"/>
              </w:rPr>
              <w:t>~+0.2% vs. mid</w:t>
            </w:r>
          </w:p>
        </w:tc>
      </w:tr>
      <w:tr>
        <w:tc>
          <w:tcPr>
            <w:tcW w:type="dxa" w:w="1234"/>
          </w:tcPr>
          <w:p>
            <w:r>
              <w:rPr>
                <w:rFonts w:ascii="Calibri" w:hAnsi="Calibri"/>
                <w:sz w:val="22"/>
              </w:rPr>
              <w:t>Total Revenues, Net of Interest Expense ($B)</w:t>
            </w:r>
          </w:p>
        </w:tc>
        <w:tc>
          <w:tcPr>
            <w:tcW w:type="dxa" w:w="1234"/>
          </w:tcPr>
          <w:p>
            <w:r>
              <w:rPr>
                <w:rFonts w:ascii="Calibri" w:hAnsi="Calibri"/>
                <w:sz w:val="22"/>
              </w:rPr>
              <w:t>$17.66B</w:t>
            </w:r>
          </w:p>
        </w:tc>
        <w:tc>
          <w:tcPr>
            <w:tcW w:type="dxa" w:w="1234"/>
          </w:tcPr>
          <w:p>
            <w:r>
              <w:rPr>
                <w:rFonts w:ascii="Calibri" w:hAnsi="Calibri"/>
                <w:sz w:val="22"/>
              </w:rPr>
              <w:t>$16.45B</w:t>
            </w:r>
          </w:p>
        </w:tc>
        <w:tc>
          <w:tcPr>
            <w:tcW w:type="dxa" w:w="1234"/>
          </w:tcPr>
          <w:p>
            <w:r>
              <w:rPr>
                <w:rFonts w:ascii="Calibri" w:hAnsi="Calibri"/>
                <w:sz w:val="22"/>
              </w:rPr>
              <w:t>$18.38B</w:t>
            </w:r>
          </w:p>
        </w:tc>
        <w:tc>
          <w:tcPr>
            <w:tcW w:type="dxa" w:w="1234"/>
          </w:tcPr>
          <w:p>
            <w:r>
              <w:rPr>
                <w:rFonts w:ascii="Calibri" w:hAnsi="Calibri"/>
                <w:sz w:val="22"/>
              </w:rPr>
              <w:t>+11.7%</w:t>
            </w:r>
          </w:p>
        </w:tc>
        <w:tc>
          <w:tcPr>
            <w:tcW w:type="dxa" w:w="1234"/>
          </w:tcPr>
          <w:p>
            <w:r>
              <w:rPr>
                <w:rFonts w:ascii="Calibri" w:hAnsi="Calibri"/>
                <w:sz w:val="22"/>
              </w:rPr>
              <w:t>9–10% growth (FY)</w:t>
            </w:r>
          </w:p>
        </w:tc>
        <w:tc>
          <w:tcPr>
            <w:tcW w:type="dxa" w:w="1234"/>
          </w:tcPr>
          <w:p>
            <w:r>
              <w:rPr>
                <w:rFonts w:ascii="Calibri" w:hAnsi="Calibri"/>
                <w:sz w:val="22"/>
              </w:rPr>
              <w:t>Tracking within range</w:t>
            </w:r>
          </w:p>
        </w:tc>
      </w:tr>
      <w:tr>
        <w:tc>
          <w:tcPr>
            <w:tcW w:type="dxa" w:w="1234"/>
          </w:tcPr>
          <w:p>
            <w:r>
              <w:rPr>
                <w:rFonts w:ascii="Calibri" w:hAnsi="Calibri"/>
                <w:sz w:val="22"/>
              </w:rPr>
              <w:t>Billed Business ($B)</w:t>
            </w:r>
          </w:p>
        </w:tc>
        <w:tc>
          <w:tcPr>
            <w:tcW w:type="dxa" w:w="1234"/>
          </w:tcPr>
          <w:p>
            <w:r>
              <w:rPr>
                <w:rFonts w:ascii="Calibri" w:hAnsi="Calibri"/>
                <w:sz w:val="22"/>
              </w:rPr>
              <w:t>$428.0B</w:t>
            </w:r>
          </w:p>
        </w:tc>
        <w:tc>
          <w:tcPr>
            <w:tcW w:type="dxa" w:w="1234"/>
          </w:tcPr>
          <w:p>
            <w:r>
              <w:rPr>
                <w:rFonts w:ascii="Calibri" w:hAnsi="Calibri"/>
                <w:sz w:val="22"/>
              </w:rPr>
              <w:t>$416.3B</w:t>
            </w:r>
          </w:p>
        </w:tc>
        <w:tc>
          <w:tcPr>
            <w:tcW w:type="dxa" w:w="1234"/>
          </w:tcPr>
          <w:p>
            <w:r>
              <w:rPr>
                <w:rFonts w:ascii="Calibri" w:hAnsi="Calibri"/>
                <w:sz w:val="22"/>
              </w:rPr>
              <w:t>$455.7B</w:t>
            </w:r>
          </w:p>
        </w:tc>
        <w:tc>
          <w:tcPr>
            <w:tcW w:type="dxa" w:w="1234"/>
          </w:tcPr>
          <w:p>
            <w:r>
              <w:rPr>
                <w:rFonts w:ascii="Calibri" w:hAnsi="Calibri"/>
                <w:sz w:val="22"/>
              </w:rPr>
              <w:t>+9.5%</w:t>
            </w:r>
          </w:p>
        </w:tc>
        <w:tc>
          <w:tcPr>
            <w:tcW w:type="dxa" w:w="1234"/>
          </w:tcPr>
          <w:p>
            <w:r>
              <w:rPr>
                <w:rFonts w:ascii="Calibri" w:hAnsi="Calibri"/>
                <w:sz w:val="22"/>
              </w:rPr>
              <w:t>N/A (no explicit quarterly guide)</w:t>
            </w:r>
          </w:p>
        </w:tc>
        <w:tc>
          <w:tcPr>
            <w:tcW w:type="dxa" w:w="1234"/>
          </w:tcPr>
          <w:p>
            <w:r>
              <w:rPr>
                <w:rFonts w:ascii="Calibri" w:hAnsi="Calibri"/>
                <w:sz w:val="22"/>
              </w:rPr>
              <w:t>N/A</w:t>
            </w:r>
          </w:p>
        </w:tc>
      </w:tr>
      <w:tr>
        <w:tc>
          <w:tcPr>
            <w:tcW w:type="dxa" w:w="1234"/>
          </w:tcPr>
          <w:p>
            <w:r>
              <w:rPr>
                <w:rFonts w:ascii="Calibri" w:hAnsi="Calibri"/>
                <w:sz w:val="22"/>
              </w:rPr>
              <w:t>Net Card Fees ($B)</w:t>
            </w:r>
          </w:p>
        </w:tc>
        <w:tc>
          <w:tcPr>
            <w:tcW w:type="dxa" w:w="1234"/>
          </w:tcPr>
          <w:p>
            <w:r>
              <w:rPr>
                <w:rFonts w:ascii="Calibri" w:hAnsi="Calibri"/>
                <w:sz w:val="22"/>
              </w:rPr>
              <w:t>$2.752B</w:t>
            </w:r>
          </w:p>
        </w:tc>
        <w:tc>
          <w:tcPr>
            <w:tcW w:type="dxa" w:w="1234"/>
          </w:tcPr>
          <w:p>
            <w:r>
              <w:rPr>
                <w:rFonts w:ascii="Calibri" w:hAnsi="Calibri"/>
                <w:sz w:val="22"/>
              </w:rPr>
              <w:t>$2.480B</w:t>
            </w:r>
          </w:p>
        </w:tc>
        <w:tc>
          <w:tcPr>
            <w:tcW w:type="dxa" w:w="1234"/>
          </w:tcPr>
          <w:p>
            <w:r>
              <w:rPr>
                <w:rFonts w:ascii="Calibri" w:hAnsi="Calibri"/>
                <w:sz w:val="22"/>
              </w:rPr>
              <w:t>$2.901B</w:t>
            </w:r>
          </w:p>
        </w:tc>
        <w:tc>
          <w:tcPr>
            <w:tcW w:type="dxa" w:w="1234"/>
          </w:tcPr>
          <w:p>
            <w:r>
              <w:rPr>
                <w:rFonts w:ascii="Calibri" w:hAnsi="Calibri"/>
                <w:sz w:val="22"/>
              </w:rPr>
              <w:t>+17.0%</w:t>
            </w:r>
          </w:p>
        </w:tc>
        <w:tc>
          <w:tcPr>
            <w:tcW w:type="dxa" w:w="1234"/>
          </w:tcPr>
          <w:p>
            <w:r>
              <w:rPr>
                <w:rFonts w:ascii="Calibri" w:hAnsi="Calibri"/>
                <w:sz w:val="22"/>
              </w:rPr>
              <w:t>Exit 2026 in high-teens growth</w:t>
            </w:r>
          </w:p>
        </w:tc>
        <w:tc>
          <w:tcPr>
            <w:tcW w:type="dxa" w:w="1234"/>
          </w:tcPr>
          <w:p>
            <w:r>
              <w:rPr>
                <w:rFonts w:ascii="Calibri" w:hAnsi="Calibri"/>
                <w:sz w:val="22"/>
              </w:rPr>
              <w:t>Tracking to guidance</w:t>
            </w:r>
          </w:p>
        </w:tc>
      </w:tr>
      <w:tr>
        <w:tc>
          <w:tcPr>
            <w:tcW w:type="dxa" w:w="1234"/>
          </w:tcPr>
          <w:p>
            <w:r>
              <w:rPr>
                <w:rFonts w:ascii="Calibri" w:hAnsi="Calibri"/>
                <w:sz w:val="22"/>
              </w:rPr>
              <w:t>Net Write-Off Rate — USCS (%, principal only)</w:t>
            </w:r>
          </w:p>
        </w:tc>
        <w:tc>
          <w:tcPr>
            <w:tcW w:type="dxa" w:w="1234"/>
          </w:tcPr>
          <w:p>
            <w:r>
              <w:rPr>
                <w:rFonts w:ascii="Calibri" w:hAnsi="Calibri"/>
                <w:sz w:val="22"/>
              </w:rPr>
              <w:t>1.9%</w:t>
            </w:r>
          </w:p>
        </w:tc>
        <w:tc>
          <w:tcPr>
            <w:tcW w:type="dxa" w:w="1234"/>
          </w:tcPr>
          <w:p>
            <w:r>
              <w:rPr>
                <w:rFonts w:ascii="Calibri" w:hAnsi="Calibri"/>
                <w:sz w:val="22"/>
              </w:rPr>
              <w:t>1.9%</w:t>
            </w:r>
          </w:p>
        </w:tc>
        <w:tc>
          <w:tcPr>
            <w:tcW w:type="dxa" w:w="1234"/>
          </w:tcPr>
          <w:p>
            <w:r>
              <w:rPr>
                <w:rFonts w:ascii="Calibri" w:hAnsi="Calibri"/>
                <w:sz w:val="22"/>
              </w:rPr>
              <w:t>~2.05%</w:t>
            </w:r>
          </w:p>
        </w:tc>
        <w:tc>
          <w:tcPr>
            <w:tcW w:type="dxa" w:w="1234"/>
          </w:tcPr>
          <w:p>
            <w:r>
              <w:rPr>
                <w:rFonts w:ascii="Calibri" w:hAnsi="Calibri"/>
                <w:sz w:val="22"/>
              </w:rPr>
              <w:t>+15 bps YoY (est.)</w:t>
            </w:r>
          </w:p>
        </w:tc>
        <w:tc>
          <w:tcPr>
            <w:tcW w:type="dxa" w:w="1234"/>
          </w:tcPr>
          <w:p>
            <w:r>
              <w:rPr>
                <w:rFonts w:ascii="Calibri" w:hAnsi="Calibri"/>
                <w:sz w:val="22"/>
              </w:rPr>
              <w:t>Generally stable throughout 2026</w:t>
            </w:r>
          </w:p>
        </w:tc>
        <w:tc>
          <w:tcPr>
            <w:tcW w:type="dxa" w:w="1234"/>
          </w:tcPr>
          <w:p>
            <w:r>
              <w:rPr>
                <w:rFonts w:ascii="Calibri" w:hAnsi="Calibri"/>
                <w:sz w:val="22"/>
              </w:rPr>
              <w:t>Within stable range</w:t>
            </w:r>
          </w:p>
        </w:tc>
      </w:tr>
      <w:tr>
        <w:tc>
          <w:tcPr>
            <w:tcW w:type="dxa" w:w="1234"/>
          </w:tcPr>
          <w:p>
            <w:r>
              <w:rPr>
                <w:rFonts w:ascii="Calibri" w:hAnsi="Calibri"/>
                <w:sz w:val="22"/>
              </w:rPr>
              <w:t>30-Day Delinquency Rate (%)</w:t>
            </w:r>
          </w:p>
        </w:tc>
        <w:tc>
          <w:tcPr>
            <w:tcW w:type="dxa" w:w="1234"/>
          </w:tcPr>
          <w:p>
            <w:r>
              <w:rPr>
                <w:rFonts w:ascii="Calibri" w:hAnsi="Calibri"/>
                <w:sz w:val="22"/>
              </w:rPr>
              <w:t>1.19%</w:t>
            </w:r>
          </w:p>
        </w:tc>
        <w:tc>
          <w:tcPr>
            <w:tcW w:type="dxa" w:w="1234"/>
          </w:tcPr>
          <w:p>
            <w:r>
              <w:rPr>
                <w:rFonts w:ascii="Calibri" w:hAnsi="Calibri"/>
                <w:sz w:val="22"/>
              </w:rPr>
              <w:t>1.25%</w:t>
            </w:r>
          </w:p>
        </w:tc>
        <w:tc>
          <w:tcPr>
            <w:tcW w:type="dxa" w:w="1234"/>
          </w:tcPr>
          <w:p>
            <w:r>
              <w:rPr>
                <w:rFonts w:ascii="Calibri" w:hAnsi="Calibri"/>
                <w:sz w:val="22"/>
              </w:rPr>
              <w:t>~1.14%</w:t>
            </w:r>
          </w:p>
        </w:tc>
        <w:tc>
          <w:tcPr>
            <w:tcW w:type="dxa" w:w="1234"/>
          </w:tcPr>
          <w:p>
            <w:r>
              <w:rPr>
                <w:rFonts w:ascii="Calibri" w:hAnsi="Calibri"/>
                <w:sz w:val="22"/>
              </w:rPr>
              <w:t>-11 bps YoY (est.)</w:t>
            </w:r>
          </w:p>
        </w:tc>
        <w:tc>
          <w:tcPr>
            <w:tcW w:type="dxa" w:w="1234"/>
          </w:tcPr>
          <w:p>
            <w:r>
              <w:rPr>
                <w:rFonts w:ascii="Calibri" w:hAnsi="Calibri"/>
                <w:sz w:val="22"/>
              </w:rPr>
              <w:t>Generally stable throughout 2026</w:t>
            </w:r>
          </w:p>
        </w:tc>
        <w:tc>
          <w:tcPr>
            <w:tcW w:type="dxa" w:w="1234"/>
          </w:tcPr>
          <w:p>
            <w:r>
              <w:rPr>
                <w:rFonts w:ascii="Calibri" w:hAnsi="Calibri"/>
                <w:sz w:val="22"/>
              </w:rPr>
              <w:t>Better than guidance tone</w:t>
            </w:r>
          </w:p>
        </w:tc>
      </w:tr>
    </w:tbl>
    <w:p>
      <w:r>
        <w:rPr>
          <w:rFonts w:ascii="Calibri" w:hAnsi="Calibri"/>
          <w:i/>
          <w:color w:val="525866"/>
          <w:sz w:val="22"/>
        </w:rPr>
        <w:t>Source: Visible Alpha Consensus and Actuals Data</w:t>
      </w:r>
    </w:p>
    <w:p>
      <w:r>
        <w:rPr>
          <w:rFonts w:ascii="Calibri" w:hAnsi="Calibri"/>
          <w:b/>
          <w:color w:val="525866"/>
          <w:sz w:val="22"/>
        </w:rPr>
        <w:t xml:space="preserve">Notes: </w:t>
      </w:r>
      <w:r>
        <w:rPr>
          <w:rFonts w:ascii="Calibri" w:hAnsi="Calibri"/>
          <w:color w:val="525866"/>
          <w:sz w:val="22"/>
        </w:rPr>
        <w:t>Q2 2026 consensus EPS of $4.41 and billed business of $455.7B are from Visible Alpha as of July 23, 2026. Net card fees consensus of $2.901B reflects the Platinum refresh anniversary fee step-up accelerating through the year. The June 2026 monthly credit filing (8-K, July 15, 2026) showed the Q2 net write-off rate for U.S. Consumer at 1.8% for the three months ended June 30, 2026 (aided by ~0.3% reduction from a sale of previously written-off balances), and 30-day delinquency at 1.1% — both consistent with the stable-credit guidance narrative. The Amazon and Lowe’s co-brand portfolio transfers create a low-single-digit drag on commercial billed business starting Q2 2026, with zero EPS impact (already in guidance).</w:t>
      </w:r>
    </w:p>
    <w:p>
      <w:pPr>
        <w:pStyle w:val="Heading2"/>
      </w:pPr>
      <w:r>
        <w:rPr>
          <w:rFonts w:ascii="Calibri" w:hAnsi="Calibri"/>
          <w:b/>
          <w:color w:val="3B4259"/>
          <w:sz w:val="28"/>
        </w:rPr>
        <w:t>Table 2 — Beat / 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Diluted EPS — Operating</w:t>
            </w:r>
          </w:p>
        </w:tc>
        <w:tc>
          <w:tcPr>
            <w:tcW w:type="dxa" w:w="1440"/>
          </w:tcPr>
          <w:p>
            <w:r>
              <w:rPr>
                <w:rFonts w:ascii="Calibri" w:hAnsi="Calibri"/>
                <w:sz w:val="22"/>
              </w:rPr>
              <w:t>$4.28</w:t>
            </w:r>
          </w:p>
        </w:tc>
        <w:tc>
          <w:tcPr>
            <w:tcW w:type="dxa" w:w="1440"/>
          </w:tcPr>
          <w:p>
            <w:r>
              <w:rPr>
                <w:rFonts w:ascii="Calibri" w:hAnsi="Calibri"/>
                <w:sz w:val="22"/>
              </w:rPr>
              <w:t>$4.06</w:t>
            </w:r>
          </w:p>
        </w:tc>
        <w:tc>
          <w:tcPr>
            <w:tcW w:type="dxa" w:w="1440"/>
          </w:tcPr>
          <w:p>
            <w:r>
              <w:rPr>
                <w:rFonts w:ascii="Calibri" w:hAnsi="Calibri"/>
                <w:b/>
                <w:color w:val="30A46C"/>
                <w:sz w:val="22"/>
              </w:rPr>
              <w:t>+5.4%</w:t>
            </w:r>
          </w:p>
        </w:tc>
        <w:tc>
          <w:tcPr>
            <w:tcW w:type="dxa" w:w="1440"/>
          </w:tcPr>
          <w:p>
            <w:r>
              <w:rPr>
                <w:rFonts w:ascii="Calibri" w:hAnsi="Calibri"/>
                <w:b/>
                <w:sz w:val="22"/>
              </w:rPr>
              <w:t>Beat</w:t>
            </w:r>
          </w:p>
        </w:tc>
      </w:tr>
      <w:tr>
        <w:tc>
          <w:tcPr>
            <w:tcW w:type="dxa" w:w="1440"/>
          </w:tcPr>
          <w:p>
            <w:r>
              <w:rPr>
                <w:rFonts w:ascii="Calibri" w:hAnsi="Calibri"/>
                <w:sz w:val="22"/>
              </w:rPr>
              <w:t>Q1 2026</w:t>
            </w:r>
          </w:p>
        </w:tc>
        <w:tc>
          <w:tcPr>
            <w:tcW w:type="dxa" w:w="1440"/>
          </w:tcPr>
          <w:p>
            <w:r>
              <w:rPr>
                <w:rFonts w:ascii="Calibri" w:hAnsi="Calibri"/>
                <w:sz w:val="22"/>
              </w:rPr>
              <w:t>Billed Business ($B)</w:t>
            </w:r>
          </w:p>
        </w:tc>
        <w:tc>
          <w:tcPr>
            <w:tcW w:type="dxa" w:w="1440"/>
          </w:tcPr>
          <w:p>
            <w:r>
              <w:rPr>
                <w:rFonts w:ascii="Calibri" w:hAnsi="Calibri"/>
                <w:sz w:val="22"/>
              </w:rPr>
              <w:t>$428.0B</w:t>
            </w:r>
          </w:p>
        </w:tc>
        <w:tc>
          <w:tcPr>
            <w:tcW w:type="dxa" w:w="1440"/>
          </w:tcPr>
          <w:p>
            <w:r>
              <w:rPr>
                <w:rFonts w:ascii="Calibri" w:hAnsi="Calibri"/>
                <w:sz w:val="22"/>
              </w:rPr>
              <w:t>$421.0B</w:t>
            </w:r>
          </w:p>
        </w:tc>
        <w:tc>
          <w:tcPr>
            <w:tcW w:type="dxa" w:w="1440"/>
          </w:tcPr>
          <w:p>
            <w:r>
              <w:rPr>
                <w:rFonts w:ascii="Calibri" w:hAnsi="Calibri"/>
                <w:b/>
                <w:color w:val="30A46C"/>
                <w:sz w:val="22"/>
              </w:rPr>
              <w:t>+1.7%</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Diluted EPS — Operating</w:t>
            </w:r>
          </w:p>
        </w:tc>
        <w:tc>
          <w:tcPr>
            <w:tcW w:type="dxa" w:w="1440"/>
          </w:tcPr>
          <w:p>
            <w:r>
              <w:rPr>
                <w:rFonts w:ascii="Calibri" w:hAnsi="Calibri"/>
                <w:sz w:val="22"/>
              </w:rPr>
              <w:t>$3.53</w:t>
            </w:r>
          </w:p>
        </w:tc>
        <w:tc>
          <w:tcPr>
            <w:tcW w:type="dxa" w:w="1440"/>
          </w:tcPr>
          <w:p>
            <w:r>
              <w:rPr>
                <w:rFonts w:ascii="Calibri" w:hAnsi="Calibri"/>
                <w:sz w:val="22"/>
              </w:rPr>
              <w:t>$3.53</w:t>
            </w:r>
          </w:p>
        </w:tc>
        <w:tc>
          <w:tcPr>
            <w:tcW w:type="dxa" w:w="1440"/>
          </w:tcPr>
          <w:p>
            <w:r>
              <w:rPr>
                <w:rFonts w:ascii="Calibri" w:hAnsi="Calibri"/>
                <w:sz w:val="22"/>
              </w:rPr>
              <w:t>~0%</w:t>
            </w:r>
          </w:p>
        </w:tc>
        <w:tc>
          <w:tcPr>
            <w:tcW w:type="dxa" w:w="1440"/>
          </w:tcPr>
          <w:p>
            <w:r>
              <w:rPr>
                <w:rFonts w:ascii="Calibri" w:hAnsi="Calibri"/>
                <w:sz w:val="22"/>
              </w:rPr>
              <w:t>In Line</w:t>
            </w:r>
          </w:p>
        </w:tc>
      </w:tr>
      <w:tr>
        <w:tc>
          <w:tcPr>
            <w:tcW w:type="dxa" w:w="1440"/>
          </w:tcPr>
          <w:p>
            <w:r>
              <w:rPr>
                <w:rFonts w:ascii="Calibri" w:hAnsi="Calibri"/>
                <w:sz w:val="22"/>
              </w:rPr>
              <w:t>Q4 2025</w:t>
            </w:r>
          </w:p>
        </w:tc>
        <w:tc>
          <w:tcPr>
            <w:tcW w:type="dxa" w:w="1440"/>
          </w:tcPr>
          <w:p>
            <w:r>
              <w:rPr>
                <w:rFonts w:ascii="Calibri" w:hAnsi="Calibri"/>
                <w:sz w:val="22"/>
              </w:rPr>
              <w:t>Billed Business ($B)</w:t>
            </w:r>
          </w:p>
        </w:tc>
        <w:tc>
          <w:tcPr>
            <w:tcW w:type="dxa" w:w="1440"/>
          </w:tcPr>
          <w:p>
            <w:r>
              <w:rPr>
                <w:rFonts w:ascii="Calibri" w:hAnsi="Calibri"/>
                <w:sz w:val="22"/>
              </w:rPr>
              <w:t>$445.1B</w:t>
            </w:r>
          </w:p>
        </w:tc>
        <w:tc>
          <w:tcPr>
            <w:tcW w:type="dxa" w:w="1440"/>
          </w:tcPr>
          <w:p>
            <w:r>
              <w:rPr>
                <w:rFonts w:ascii="Calibri" w:hAnsi="Calibri"/>
                <w:sz w:val="22"/>
              </w:rPr>
              <w:t>$442.5B</w:t>
            </w:r>
          </w:p>
        </w:tc>
        <w:tc>
          <w:tcPr>
            <w:tcW w:type="dxa" w:w="1440"/>
          </w:tcPr>
          <w:p>
            <w:r>
              <w:rPr>
                <w:rFonts w:ascii="Calibri" w:hAnsi="Calibri"/>
                <w:b/>
                <w:color w:val="30A46C"/>
                <w:sz w:val="22"/>
              </w:rPr>
              <w:t>+0.6%</w:t>
            </w:r>
          </w:p>
        </w:tc>
        <w:tc>
          <w:tcPr>
            <w:tcW w:type="dxa" w:w="1440"/>
          </w:tcPr>
          <w:p>
            <w:r>
              <w:rPr>
                <w:rFonts w:ascii="Calibri" w:hAnsi="Calibri"/>
                <w:b/>
                <w:sz w:val="22"/>
              </w:rPr>
              <w:t>Slight Beat</w:t>
            </w:r>
          </w:p>
        </w:tc>
      </w:tr>
      <w:tr>
        <w:tc>
          <w:tcPr>
            <w:tcW w:type="dxa" w:w="1440"/>
          </w:tcPr>
          <w:p>
            <w:r>
              <w:rPr>
                <w:rFonts w:ascii="Calibri" w:hAnsi="Calibri"/>
                <w:sz w:val="22"/>
              </w:rPr>
              <w:t>Q3 2025</w:t>
            </w:r>
          </w:p>
        </w:tc>
        <w:tc>
          <w:tcPr>
            <w:tcW w:type="dxa" w:w="1440"/>
          </w:tcPr>
          <w:p>
            <w:r>
              <w:rPr>
                <w:rFonts w:ascii="Calibri" w:hAnsi="Calibri"/>
                <w:sz w:val="22"/>
              </w:rPr>
              <w:t>Diluted EPS — Operating</w:t>
            </w:r>
          </w:p>
        </w:tc>
        <w:tc>
          <w:tcPr>
            <w:tcW w:type="dxa" w:w="1440"/>
          </w:tcPr>
          <w:p>
            <w:r>
              <w:rPr>
                <w:rFonts w:ascii="Calibri" w:hAnsi="Calibri"/>
                <w:sz w:val="22"/>
              </w:rPr>
              <w:t>$4.14</w:t>
            </w:r>
          </w:p>
        </w:tc>
        <w:tc>
          <w:tcPr>
            <w:tcW w:type="dxa" w:w="1440"/>
          </w:tcPr>
          <w:p>
            <w:r>
              <w:rPr>
                <w:rFonts w:ascii="Calibri" w:hAnsi="Calibri"/>
                <w:sz w:val="22"/>
              </w:rPr>
              <w:t>$3.99</w:t>
            </w:r>
          </w:p>
        </w:tc>
        <w:tc>
          <w:tcPr>
            <w:tcW w:type="dxa" w:w="1440"/>
          </w:tcPr>
          <w:p>
            <w:r>
              <w:rPr>
                <w:rFonts w:ascii="Calibri" w:hAnsi="Calibri"/>
                <w:b/>
                <w:color w:val="30A46C"/>
                <w:sz w:val="22"/>
              </w:rPr>
              <w:t>+3.8%</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Billed Business ($B)</w:t>
            </w:r>
          </w:p>
        </w:tc>
        <w:tc>
          <w:tcPr>
            <w:tcW w:type="dxa" w:w="1440"/>
          </w:tcPr>
          <w:p>
            <w:r>
              <w:rPr>
                <w:rFonts w:ascii="Calibri" w:hAnsi="Calibri"/>
                <w:sz w:val="22"/>
              </w:rPr>
              <w:t>$421.0B</w:t>
            </w:r>
          </w:p>
        </w:tc>
        <w:tc>
          <w:tcPr>
            <w:tcW w:type="dxa" w:w="1440"/>
          </w:tcPr>
          <w:p>
            <w:r>
              <w:rPr>
                <w:rFonts w:ascii="Calibri" w:hAnsi="Calibri"/>
                <w:sz w:val="22"/>
              </w:rPr>
              <w:t>$415.4B</w:t>
            </w:r>
          </w:p>
        </w:tc>
        <w:tc>
          <w:tcPr>
            <w:tcW w:type="dxa" w:w="1440"/>
          </w:tcPr>
          <w:p>
            <w:r>
              <w:rPr>
                <w:rFonts w:ascii="Calibri" w:hAnsi="Calibri"/>
                <w:b/>
                <w:color w:val="30A46C"/>
                <w:sz w:val="22"/>
              </w:rPr>
              <w:t>+1.3%</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Diluted EPS — Operating</w:t>
            </w:r>
          </w:p>
        </w:tc>
        <w:tc>
          <w:tcPr>
            <w:tcW w:type="dxa" w:w="1440"/>
          </w:tcPr>
          <w:p>
            <w:r>
              <w:rPr>
                <w:rFonts w:ascii="Calibri" w:hAnsi="Calibri"/>
                <w:sz w:val="22"/>
              </w:rPr>
              <w:t>$4.08</w:t>
            </w:r>
          </w:p>
        </w:tc>
        <w:tc>
          <w:tcPr>
            <w:tcW w:type="dxa" w:w="1440"/>
          </w:tcPr>
          <w:p>
            <w:r>
              <w:rPr>
                <w:rFonts w:ascii="Calibri" w:hAnsi="Calibri"/>
                <w:sz w:val="22"/>
              </w:rPr>
              <w:t>$3.90</w:t>
            </w:r>
          </w:p>
        </w:tc>
        <w:tc>
          <w:tcPr>
            <w:tcW w:type="dxa" w:w="1440"/>
          </w:tcPr>
          <w:p>
            <w:r>
              <w:rPr>
                <w:rFonts w:ascii="Calibri" w:hAnsi="Calibri"/>
                <w:b/>
                <w:color w:val="30A46C"/>
                <w:sz w:val="22"/>
              </w:rPr>
              <w:t>+4.6%</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Billed Business ($B)</w:t>
            </w:r>
          </w:p>
        </w:tc>
        <w:tc>
          <w:tcPr>
            <w:tcW w:type="dxa" w:w="1440"/>
          </w:tcPr>
          <w:p>
            <w:r>
              <w:rPr>
                <w:rFonts w:ascii="Calibri" w:hAnsi="Calibri"/>
                <w:sz w:val="22"/>
              </w:rPr>
              <w:t>$416.3B</w:t>
            </w:r>
          </w:p>
        </w:tc>
        <w:tc>
          <w:tcPr>
            <w:tcW w:type="dxa" w:w="1440"/>
          </w:tcPr>
          <w:p>
            <w:r>
              <w:rPr>
                <w:rFonts w:ascii="Calibri" w:hAnsi="Calibri"/>
                <w:sz w:val="22"/>
              </w:rPr>
              <w:t>$413.3B</w:t>
            </w:r>
          </w:p>
        </w:tc>
        <w:tc>
          <w:tcPr>
            <w:tcW w:type="dxa" w:w="1440"/>
          </w:tcPr>
          <w:p>
            <w:r>
              <w:rPr>
                <w:rFonts w:ascii="Calibri" w:hAnsi="Calibri"/>
                <w:b/>
                <w:color w:val="30A46C"/>
                <w:sz w:val="22"/>
              </w:rPr>
              <w:t>+0.7%</w:t>
            </w:r>
          </w:p>
        </w:tc>
        <w:tc>
          <w:tcPr>
            <w:tcW w:type="dxa" w:w="1440"/>
          </w:tcPr>
          <w:p>
            <w:r>
              <w:rPr>
                <w:rFonts w:ascii="Calibri" w:hAnsi="Calibri"/>
                <w:b/>
                <w:sz w:val="22"/>
              </w:rPr>
              <w:t>Slight Beat</w:t>
            </w:r>
          </w:p>
        </w:tc>
      </w:tr>
      <w:tr>
        <w:tc>
          <w:tcPr>
            <w:tcW w:type="dxa" w:w="1440"/>
          </w:tcPr>
          <w:p>
            <w:r>
              <w:rPr>
                <w:rFonts w:ascii="Calibri" w:hAnsi="Calibri"/>
                <w:sz w:val="22"/>
              </w:rPr>
              <w:t>Q1 2025</w:t>
            </w:r>
          </w:p>
        </w:tc>
        <w:tc>
          <w:tcPr>
            <w:tcW w:type="dxa" w:w="1440"/>
          </w:tcPr>
          <w:p>
            <w:r>
              <w:rPr>
                <w:rFonts w:ascii="Calibri" w:hAnsi="Calibri"/>
                <w:sz w:val="22"/>
              </w:rPr>
              <w:t>Diluted EPS — Operating</w:t>
            </w:r>
          </w:p>
        </w:tc>
        <w:tc>
          <w:tcPr>
            <w:tcW w:type="dxa" w:w="1440"/>
          </w:tcPr>
          <w:p>
            <w:r>
              <w:rPr>
                <w:rFonts w:ascii="Calibri" w:hAnsi="Calibri"/>
                <w:sz w:val="22"/>
              </w:rPr>
              <w:t>$3.64</w:t>
            </w:r>
          </w:p>
        </w:tc>
        <w:tc>
          <w:tcPr>
            <w:tcW w:type="dxa" w:w="1440"/>
          </w:tcPr>
          <w:p>
            <w:r>
              <w:rPr>
                <w:rFonts w:ascii="Calibri" w:hAnsi="Calibri"/>
                <w:sz w:val="22"/>
              </w:rPr>
              <w:t>$3.43</w:t>
            </w:r>
          </w:p>
        </w:tc>
        <w:tc>
          <w:tcPr>
            <w:tcW w:type="dxa" w:w="1440"/>
          </w:tcPr>
          <w:p>
            <w:r>
              <w:rPr>
                <w:rFonts w:ascii="Calibri" w:hAnsi="Calibri"/>
                <w:b/>
                <w:color w:val="30A46C"/>
                <w:sz w:val="22"/>
              </w:rPr>
              <w:t>+6.1%</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Billed Business ($B)</w:t>
            </w:r>
          </w:p>
        </w:tc>
        <w:tc>
          <w:tcPr>
            <w:tcW w:type="dxa" w:w="1440"/>
          </w:tcPr>
          <w:p>
            <w:r>
              <w:rPr>
                <w:rFonts w:ascii="Calibri" w:hAnsi="Calibri"/>
                <w:sz w:val="22"/>
              </w:rPr>
              <w:t>$387.4B</w:t>
            </w:r>
          </w:p>
        </w:tc>
        <w:tc>
          <w:tcPr>
            <w:tcW w:type="dxa" w:w="1440"/>
          </w:tcPr>
          <w:p>
            <w:r>
              <w:rPr>
                <w:rFonts w:ascii="Calibri" w:hAnsi="Calibri"/>
                <w:sz w:val="22"/>
              </w:rPr>
              <w:t>$386.6B</w:t>
            </w:r>
          </w:p>
        </w:tc>
        <w:tc>
          <w:tcPr>
            <w:tcW w:type="dxa" w:w="1440"/>
          </w:tcPr>
          <w:p>
            <w:r>
              <w:rPr>
                <w:rFonts w:ascii="Calibri" w:hAnsi="Calibri"/>
                <w:sz w:val="22"/>
              </w:rPr>
              <w:t>+0.2%</w:t>
            </w:r>
          </w:p>
        </w:tc>
        <w:tc>
          <w:tcPr>
            <w:tcW w:type="dxa" w:w="1440"/>
          </w:tcPr>
          <w:p>
            <w:r>
              <w:rPr>
                <w:rFonts w:ascii="Calibri" w:hAnsi="Calibri"/>
                <w:sz w:val="22"/>
              </w:rPr>
              <w:t>In Line</w:t>
            </w:r>
          </w:p>
        </w:tc>
      </w:tr>
      <w:tr>
        <w:tc>
          <w:tcPr>
            <w:tcW w:type="dxa" w:w="1440"/>
          </w:tcPr>
          <w:p>
            <w:r>
              <w:rPr>
                <w:rFonts w:ascii="Calibri" w:hAnsi="Calibri"/>
                <w:sz w:val="22"/>
              </w:rPr>
              <w:t>Q4 2024</w:t>
            </w:r>
          </w:p>
        </w:tc>
        <w:tc>
          <w:tcPr>
            <w:tcW w:type="dxa" w:w="1440"/>
          </w:tcPr>
          <w:p>
            <w:r>
              <w:rPr>
                <w:rFonts w:ascii="Calibri" w:hAnsi="Calibri"/>
                <w:sz w:val="22"/>
              </w:rPr>
              <w:t>Diluted EPS — Operating</w:t>
            </w:r>
          </w:p>
        </w:tc>
        <w:tc>
          <w:tcPr>
            <w:tcW w:type="dxa" w:w="1440"/>
          </w:tcPr>
          <w:p>
            <w:r>
              <w:rPr>
                <w:rFonts w:ascii="Calibri" w:hAnsi="Calibri"/>
                <w:sz w:val="22"/>
              </w:rPr>
              <w:t>$3.04</w:t>
            </w:r>
          </w:p>
        </w:tc>
        <w:tc>
          <w:tcPr>
            <w:tcW w:type="dxa" w:w="1440"/>
          </w:tcPr>
          <w:p>
            <w:r>
              <w:rPr>
                <w:rFonts w:ascii="Calibri" w:hAnsi="Calibri"/>
                <w:sz w:val="22"/>
              </w:rPr>
              <w:t>$3.05</w:t>
            </w:r>
          </w:p>
        </w:tc>
        <w:tc>
          <w:tcPr>
            <w:tcW w:type="dxa" w:w="1440"/>
          </w:tcPr>
          <w:p>
            <w:r>
              <w:rPr>
                <w:rFonts w:ascii="Calibri" w:hAnsi="Calibri"/>
                <w:b/>
                <w:color w:val="E5484D"/>
                <w:sz w:val="22"/>
              </w:rPr>
              <w:t>-0.3%</w:t>
            </w:r>
          </w:p>
        </w:tc>
        <w:tc>
          <w:tcPr>
            <w:tcW w:type="dxa" w:w="1440"/>
          </w:tcPr>
          <w:p>
            <w:r>
              <w:rPr>
                <w:rFonts w:ascii="Calibri" w:hAnsi="Calibri"/>
                <w:b/>
                <w:sz w:val="22"/>
              </w:rPr>
              <w:t>In Line / Slight Miss</w:t>
            </w:r>
          </w:p>
        </w:tc>
      </w:tr>
      <w:tr>
        <w:tc>
          <w:tcPr>
            <w:tcW w:type="dxa" w:w="1440"/>
          </w:tcPr>
          <w:p>
            <w:r>
              <w:rPr>
                <w:rFonts w:ascii="Calibri" w:hAnsi="Calibri"/>
                <w:sz w:val="22"/>
              </w:rPr>
              <w:t>Q4 2024</w:t>
            </w:r>
          </w:p>
        </w:tc>
        <w:tc>
          <w:tcPr>
            <w:tcW w:type="dxa" w:w="1440"/>
          </w:tcPr>
          <w:p>
            <w:r>
              <w:rPr>
                <w:rFonts w:ascii="Calibri" w:hAnsi="Calibri"/>
                <w:sz w:val="22"/>
              </w:rPr>
              <w:t>Billed Business ($B)</w:t>
            </w:r>
          </w:p>
        </w:tc>
        <w:tc>
          <w:tcPr>
            <w:tcW w:type="dxa" w:w="1440"/>
          </w:tcPr>
          <w:p>
            <w:r>
              <w:rPr>
                <w:rFonts w:ascii="Calibri" w:hAnsi="Calibri"/>
                <w:sz w:val="22"/>
              </w:rPr>
              <w:t>$408.4B</w:t>
            </w:r>
          </w:p>
        </w:tc>
        <w:tc>
          <w:tcPr>
            <w:tcW w:type="dxa" w:w="1440"/>
          </w:tcPr>
          <w:p>
            <w:r>
              <w:rPr>
                <w:rFonts w:ascii="Calibri" w:hAnsi="Calibri"/>
                <w:sz w:val="22"/>
              </w:rPr>
              <w:t>$402.9B</w:t>
            </w:r>
          </w:p>
        </w:tc>
        <w:tc>
          <w:tcPr>
            <w:tcW w:type="dxa" w:w="1440"/>
          </w:tcPr>
          <w:p>
            <w:r>
              <w:rPr>
                <w:rFonts w:ascii="Calibri" w:hAnsi="Calibri"/>
                <w:b/>
                <w:color w:val="30A46C"/>
                <w:sz w:val="22"/>
              </w:rPr>
              <w:t>+1.4%</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Diluted EPS — Operating</w:t>
            </w:r>
          </w:p>
        </w:tc>
        <w:tc>
          <w:tcPr>
            <w:tcW w:type="dxa" w:w="1440"/>
          </w:tcPr>
          <w:p>
            <w:r>
              <w:rPr>
                <w:rFonts w:ascii="Calibri" w:hAnsi="Calibri"/>
                <w:sz w:val="22"/>
              </w:rPr>
              <w:t>$3.49</w:t>
            </w:r>
          </w:p>
        </w:tc>
        <w:tc>
          <w:tcPr>
            <w:tcW w:type="dxa" w:w="1440"/>
          </w:tcPr>
          <w:p>
            <w:r>
              <w:rPr>
                <w:rFonts w:ascii="Calibri" w:hAnsi="Calibri"/>
                <w:sz w:val="22"/>
              </w:rPr>
              <w:t>$3.30</w:t>
            </w:r>
          </w:p>
        </w:tc>
        <w:tc>
          <w:tcPr>
            <w:tcW w:type="dxa" w:w="1440"/>
          </w:tcPr>
          <w:p>
            <w:r>
              <w:rPr>
                <w:rFonts w:ascii="Calibri" w:hAnsi="Calibri"/>
                <w:b/>
                <w:color w:val="30A46C"/>
                <w:sz w:val="22"/>
              </w:rPr>
              <w:t>+5.8%</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Billed Business ($B)</w:t>
            </w:r>
          </w:p>
        </w:tc>
        <w:tc>
          <w:tcPr>
            <w:tcW w:type="dxa" w:w="1440"/>
          </w:tcPr>
          <w:p>
            <w:r>
              <w:rPr>
                <w:rFonts w:ascii="Calibri" w:hAnsi="Calibri"/>
                <w:sz w:val="22"/>
              </w:rPr>
              <w:t>$387.3B</w:t>
            </w:r>
          </w:p>
        </w:tc>
        <w:tc>
          <w:tcPr>
            <w:tcW w:type="dxa" w:w="1440"/>
          </w:tcPr>
          <w:p>
            <w:r>
              <w:rPr>
                <w:rFonts w:ascii="Calibri" w:hAnsi="Calibri"/>
                <w:sz w:val="22"/>
              </w:rPr>
              <w:t>$385.7B</w:t>
            </w:r>
          </w:p>
        </w:tc>
        <w:tc>
          <w:tcPr>
            <w:tcW w:type="dxa" w:w="1440"/>
          </w:tcPr>
          <w:p>
            <w:r>
              <w:rPr>
                <w:rFonts w:ascii="Calibri" w:hAnsi="Calibri"/>
                <w:b/>
                <w:color w:val="30A46C"/>
                <w:sz w:val="22"/>
              </w:rPr>
              <w:t>+0.4%</w:t>
            </w:r>
          </w:p>
        </w:tc>
        <w:tc>
          <w:tcPr>
            <w:tcW w:type="dxa" w:w="1440"/>
          </w:tcPr>
          <w:p>
            <w:r>
              <w:rPr>
                <w:rFonts w:ascii="Calibri" w:hAnsi="Calibri"/>
                <w:b/>
                <w:sz w:val="22"/>
              </w:rPr>
              <w:t>Slight Beat</w:t>
            </w:r>
          </w:p>
        </w:tc>
      </w:tr>
      <w:tr>
        <w:tc>
          <w:tcPr>
            <w:tcW w:type="dxa" w:w="1440"/>
          </w:tcPr>
          <w:p>
            <w:r>
              <w:rPr>
                <w:rFonts w:ascii="Calibri" w:hAnsi="Calibri"/>
                <w:sz w:val="22"/>
              </w:rPr>
              <w:t>Q2 2024</w:t>
            </w:r>
          </w:p>
        </w:tc>
        <w:tc>
          <w:tcPr>
            <w:tcW w:type="dxa" w:w="1440"/>
          </w:tcPr>
          <w:p>
            <w:r>
              <w:rPr>
                <w:rFonts w:ascii="Calibri" w:hAnsi="Calibri"/>
                <w:sz w:val="22"/>
              </w:rPr>
              <w:t>Diluted EPS — Operating</w:t>
            </w:r>
          </w:p>
        </w:tc>
        <w:tc>
          <w:tcPr>
            <w:tcW w:type="dxa" w:w="1440"/>
          </w:tcPr>
          <w:p>
            <w:r>
              <w:rPr>
                <w:rFonts w:ascii="Calibri" w:hAnsi="Calibri"/>
                <w:sz w:val="22"/>
              </w:rPr>
              <w:t>$3.49</w:t>
            </w:r>
          </w:p>
        </w:tc>
        <w:tc>
          <w:tcPr>
            <w:tcW w:type="dxa" w:w="1440"/>
          </w:tcPr>
          <w:p>
            <w:r>
              <w:rPr>
                <w:rFonts w:ascii="Calibri" w:hAnsi="Calibri"/>
                <w:sz w:val="22"/>
              </w:rPr>
              <w:t>$3.25</w:t>
            </w:r>
          </w:p>
        </w:tc>
        <w:tc>
          <w:tcPr>
            <w:tcW w:type="dxa" w:w="1440"/>
          </w:tcPr>
          <w:p>
            <w:r>
              <w:rPr>
                <w:rFonts w:ascii="Calibri" w:hAnsi="Calibri"/>
                <w:b/>
                <w:color w:val="30A46C"/>
                <w:sz w:val="22"/>
              </w:rPr>
              <w:t>+7.4%</w:t>
            </w:r>
          </w:p>
        </w:tc>
        <w:tc>
          <w:tcPr>
            <w:tcW w:type="dxa" w:w="1440"/>
          </w:tcPr>
          <w:p>
            <w:r>
              <w:rPr>
                <w:rFonts w:ascii="Calibri" w:hAnsi="Calibri"/>
                <w:b/>
                <w:sz w:val="22"/>
              </w:rPr>
              <w:t>Beat</w:t>
            </w:r>
          </w:p>
        </w:tc>
      </w:tr>
      <w:tr>
        <w:tc>
          <w:tcPr>
            <w:tcW w:type="dxa" w:w="1440"/>
          </w:tcPr>
          <w:p>
            <w:r>
              <w:rPr>
                <w:rFonts w:ascii="Calibri" w:hAnsi="Calibri"/>
                <w:sz w:val="22"/>
              </w:rPr>
              <w:t>Q2 2024</w:t>
            </w:r>
          </w:p>
        </w:tc>
        <w:tc>
          <w:tcPr>
            <w:tcW w:type="dxa" w:w="1440"/>
          </w:tcPr>
          <w:p>
            <w:r>
              <w:rPr>
                <w:rFonts w:ascii="Calibri" w:hAnsi="Calibri"/>
                <w:sz w:val="22"/>
              </w:rPr>
              <w:t>Billed Business ($B)</w:t>
            </w:r>
          </w:p>
        </w:tc>
        <w:tc>
          <w:tcPr>
            <w:tcW w:type="dxa" w:w="1440"/>
          </w:tcPr>
          <w:p>
            <w:r>
              <w:rPr>
                <w:rFonts w:ascii="Calibri" w:hAnsi="Calibri"/>
                <w:sz w:val="22"/>
              </w:rPr>
              <w:t>$388.2B</w:t>
            </w:r>
          </w:p>
        </w:tc>
        <w:tc>
          <w:tcPr>
            <w:tcW w:type="dxa" w:w="1440"/>
          </w:tcPr>
          <w:p>
            <w:r>
              <w:rPr>
                <w:rFonts w:ascii="Calibri" w:hAnsi="Calibri"/>
                <w:sz w:val="22"/>
              </w:rPr>
              <w:t>$390.5B</w:t>
            </w:r>
          </w:p>
        </w:tc>
        <w:tc>
          <w:tcPr>
            <w:tcW w:type="dxa" w:w="1440"/>
          </w:tcPr>
          <w:p>
            <w:r>
              <w:rPr>
                <w:rFonts w:ascii="Calibri" w:hAnsi="Calibri"/>
                <w:b/>
                <w:color w:val="E5484D"/>
                <w:sz w:val="22"/>
              </w:rPr>
              <w:t>-0.6%</w:t>
            </w:r>
          </w:p>
        </w:tc>
        <w:tc>
          <w:tcPr>
            <w:tcW w:type="dxa" w:w="1440"/>
          </w:tcPr>
          <w:p>
            <w:r>
              <w:rPr>
                <w:rFonts w:ascii="Calibri" w:hAnsi="Calibri"/>
                <w:b/>
                <w:sz w:val="22"/>
              </w:rPr>
              <w:t>Slight Miss</w:t>
            </w:r>
          </w:p>
        </w:tc>
      </w:tr>
    </w:tbl>
    <w:p>
      <w:r>
        <w:rPr>
          <w:rFonts w:ascii="Calibri" w:hAnsi="Calibri"/>
          <w:i/>
          <w:color w:val="525866"/>
          <w:sz w:val="22"/>
        </w:rPr>
        <w:t xml:space="preserve">Source: Visible Alpha Consensus and Actuals Data. </w:t>
      </w:r>
      <w:r>
        <w:rPr>
          <w:rFonts w:ascii="Calibri" w:hAnsi="Calibri"/>
          <w:i/>
          <w:color w:val="525866"/>
          <w:sz w:val="22"/>
        </w:rPr>
        <w:t>Note: Consensus figures for historical quarters reflect the latest available VA consensus at time of reporting. EPS surprise percentages are computed vs. Visible Alpha consensus at time of print.</w:t>
      </w:r>
    </w:p>
    <w:p>
      <w:r>
        <w:rPr>
          <w:rFonts w:ascii="Calibri" w:hAnsi="Calibri"/>
          <w:b/>
          <w:color w:val="525866"/>
          <w:sz w:val="22"/>
        </w:rPr>
        <w:t xml:space="preserve">Pattern: </w:t>
      </w:r>
      <w:r>
        <w:rPr>
          <w:rFonts w:ascii="Calibri" w:hAnsi="Calibri"/>
          <w:color w:val="525866"/>
          <w:sz w:val="22"/>
        </w:rPr>
        <w:t>AXP has beaten operating EPS consensus in 7 of the last 8 quarters, with an average positive surprise of ~4–5%; billed business beats have been consistent but modest (typically +0.5–1.5%), reflecting the Street's tendency to track management's conservative framing closely on volume while underestimating earnings power.</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guidance is unchanged since the Q1 2026 earnings call, but management's tone has </w:t>
      </w:r>
      <w:r>
        <w:rPr>
          <w:rFonts w:ascii="Calibri" w:hAnsi="Calibri"/>
          <w:b/>
          <w:color w:val="525866"/>
          <w:sz w:val="22"/>
        </w:rPr>
        <w:t>meaningfully upgraded</w:t>
      </w:r>
      <w:r>
        <w:rPr>
          <w:rFonts w:ascii="Calibri" w:hAnsi="Calibri"/>
          <w:color w:val="525866"/>
          <w:sz w:val="22"/>
        </w:rPr>
        <w:t xml:space="preserve"> — at both the Bernstein (May 28) and Morgan Stanley (June 9) conferences, the CFO confirmed Q2 quarter-to-date billed business running slightly ahead of Q1, airline spending recovering to 9% growth in April, and credit showing no inflection point. The only formal guidance change since Q1 was the marketing expense outlook (raised to mid-single-digit growth from flat), which was communicated on the Q1 call itself.</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 Growth</w:t>
            </w:r>
          </w:p>
        </w:tc>
        <w:tc>
          <w:tcPr>
            <w:tcW w:type="dxa" w:w="1728"/>
          </w:tcPr>
          <w:p>
            <w:r>
              <w:rPr>
                <w:rFonts w:ascii="Calibri" w:hAnsi="Calibri"/>
                <w:sz w:val="22"/>
              </w:rPr>
              <w:t>9–10% YoY</w:t>
            </w:r>
          </w:p>
        </w:tc>
        <w:tc>
          <w:tcPr>
            <w:tcW w:type="dxa" w:w="1728"/>
          </w:tcPr>
          <w:p>
            <w:r>
              <w:rPr>
                <w:rFonts w:ascii="Calibri" w:hAnsi="Calibri"/>
                <w:sz w:val="22"/>
              </w:rPr>
              <w:t>—</w:t>
            </w:r>
          </w:p>
        </w:tc>
        <w:tc>
          <w:tcPr>
            <w:tcW w:type="dxa" w:w="1728"/>
          </w:tcPr>
          <w:p>
            <w:r>
              <w:rPr>
                <w:rFonts w:ascii="Calibri" w:hAnsi="Calibri"/>
                <w:sz w:val="22"/>
              </w:rPr>
              <w:t>~9.5% (tracking within range)</w:t>
            </w:r>
          </w:p>
        </w:tc>
        <w:tc>
          <w:tcPr>
            <w:tcW w:type="dxa" w:w="1728"/>
          </w:tcPr>
          <w:p>
            <w:r>
              <w:rPr>
                <w:rFonts w:ascii="Calibri" w:hAnsi="Calibri"/>
                <w:sz w:val="22"/>
              </w:rPr>
              <w:t>Unchanged; CFO reaffirmed at Bernstein (May 28) and MS Financials (Jun 9)</w:t>
            </w:r>
          </w:p>
        </w:tc>
      </w:tr>
      <w:tr>
        <w:tc>
          <w:tcPr>
            <w:tcW w:type="dxa" w:w="1728"/>
          </w:tcPr>
          <w:p>
            <w:r>
              <w:rPr>
                <w:rFonts w:ascii="Calibri" w:hAnsi="Calibri"/>
                <w:sz w:val="22"/>
              </w:rPr>
              <w:t>FY 2026 EPS</w:t>
            </w:r>
          </w:p>
        </w:tc>
        <w:tc>
          <w:tcPr>
            <w:tcW w:type="dxa" w:w="1728"/>
          </w:tcPr>
          <w:p>
            <w:r>
              <w:rPr>
                <w:rFonts w:ascii="Calibri" w:hAnsi="Calibri"/>
                <w:sz w:val="22"/>
              </w:rPr>
              <w:t>$17.30–$17.90 (mid: $17.60)</w:t>
            </w:r>
          </w:p>
        </w:tc>
        <w:tc>
          <w:tcPr>
            <w:tcW w:type="dxa" w:w="1728"/>
          </w:tcPr>
          <w:p>
            <w:r>
              <w:rPr>
                <w:rFonts w:ascii="Calibri" w:hAnsi="Calibri"/>
                <w:sz w:val="22"/>
              </w:rPr>
              <w:t>—</w:t>
            </w:r>
          </w:p>
        </w:tc>
        <w:tc>
          <w:tcPr>
            <w:tcW w:type="dxa" w:w="1728"/>
          </w:tcPr>
          <w:p>
            <w:r>
              <w:rPr>
                <w:rFonts w:ascii="Calibri" w:hAnsi="Calibri"/>
                <w:sz w:val="22"/>
              </w:rPr>
              <w:t>$17.59</w:t>
            </w:r>
          </w:p>
        </w:tc>
        <w:tc>
          <w:tcPr>
            <w:tcW w:type="dxa" w:w="1728"/>
          </w:tcPr>
          <w:p>
            <w:r>
              <w:rPr>
                <w:rFonts w:ascii="Calibri" w:hAnsi="Calibri"/>
                <w:sz w:val="22"/>
              </w:rPr>
              <w:t>Unchanged; GBT gain (~$975M pre-tax) explicitly excluded from guidance</w:t>
            </w:r>
          </w:p>
        </w:tc>
      </w:tr>
      <w:tr>
        <w:tc>
          <w:tcPr>
            <w:tcW w:type="dxa" w:w="1728"/>
          </w:tcPr>
          <w:p>
            <w:r>
              <w:rPr>
                <w:rFonts w:ascii="Calibri" w:hAnsi="Calibri"/>
                <w:sz w:val="22"/>
              </w:rPr>
              <w:t>Marketing Expense Growth (FY)</w:t>
            </w:r>
          </w:p>
        </w:tc>
        <w:tc>
          <w:tcPr>
            <w:tcW w:type="dxa" w:w="1728"/>
          </w:tcPr>
          <w:p>
            <w:r>
              <w:rPr>
                <w:rFonts w:ascii="Calibri" w:hAnsi="Calibri"/>
                <w:sz w:val="22"/>
              </w:rPr>
              <w:t>Mid-single-digit growth (raised from flat on Q1 call)</w:t>
            </w:r>
          </w:p>
        </w:tc>
        <w:tc>
          <w:tcPr>
            <w:tcW w:type="dxa" w:w="1728"/>
          </w:tcPr>
          <w:p>
            <w:r>
              <w:rPr>
                <w:rFonts w:ascii="Calibri" w:hAnsi="Calibri"/>
                <w:sz w:val="22"/>
              </w:rPr>
              <w:t>—</w:t>
            </w:r>
          </w:p>
        </w:tc>
        <w:tc>
          <w:tcPr>
            <w:tcW w:type="dxa" w:w="1728"/>
          </w:tcPr>
          <w:p>
            <w:r>
              <w:rPr>
                <w:rFonts w:ascii="Calibri" w:hAnsi="Calibri"/>
                <w:sz w:val="22"/>
              </w:rPr>
              <w:t>N/A (not consensus-tracked)</w:t>
            </w:r>
          </w:p>
        </w:tc>
        <w:tc>
          <w:tcPr>
            <w:tcW w:type="dxa" w:w="1728"/>
          </w:tcPr>
          <w:p>
            <w:r>
              <w:rPr>
                <w:rFonts w:ascii="Calibri" w:hAnsi="Calibri"/>
                <w:sz w:val="22"/>
              </w:rPr>
              <w:t>↑ Raised on Q1 call (Apr 23); reflects reinvestment of Q1 earnings outperformance</w:t>
            </w:r>
          </w:p>
        </w:tc>
      </w:tr>
      <w:tr>
        <w:tc>
          <w:tcPr>
            <w:tcW w:type="dxa" w:w="1728"/>
          </w:tcPr>
          <w:p>
            <w:r>
              <w:rPr>
                <w:rFonts w:ascii="Calibri" w:hAnsi="Calibri"/>
                <w:sz w:val="22"/>
              </w:rPr>
              <w:t>Net Card Fee Growth (exit rate)</w:t>
            </w:r>
          </w:p>
        </w:tc>
        <w:tc>
          <w:tcPr>
            <w:tcW w:type="dxa" w:w="1728"/>
          </w:tcPr>
          <w:p>
            <w:r>
              <w:rPr>
                <w:rFonts w:ascii="Calibri" w:hAnsi="Calibri"/>
                <w:sz w:val="22"/>
              </w:rPr>
              <w:t>High-teens growth exiting 2026</w:t>
            </w:r>
          </w:p>
        </w:tc>
        <w:tc>
          <w:tcPr>
            <w:tcW w:type="dxa" w:w="1728"/>
          </w:tcPr>
          <w:p>
            <w:r>
              <w:rPr>
                <w:rFonts w:ascii="Calibri" w:hAnsi="Calibri"/>
                <w:sz w:val="22"/>
              </w:rPr>
              <w:t>—</w:t>
            </w:r>
          </w:p>
        </w:tc>
        <w:tc>
          <w:tcPr>
            <w:tcW w:type="dxa" w:w="1728"/>
          </w:tcPr>
          <w:p>
            <w:r>
              <w:rPr>
                <w:rFonts w:ascii="Calibri" w:hAnsi="Calibri"/>
                <w:sz w:val="22"/>
              </w:rPr>
              <w:t>~17% YoY Q2 consensus</w:t>
            </w:r>
          </w:p>
        </w:tc>
        <w:tc>
          <w:tcPr>
            <w:tcW w:type="dxa" w:w="1728"/>
          </w:tcPr>
          <w:p>
            <w:r>
              <w:rPr>
                <w:rFonts w:ascii="Calibri" w:hAnsi="Calibri"/>
                <w:sz w:val="22"/>
              </w:rPr>
              <w:t>Unchanged; Platinum refresh anniversary fees accelerating through year; laps refresh in Sep 2026</w:t>
            </w:r>
          </w:p>
        </w:tc>
      </w:tr>
      <w:tr>
        <w:tc>
          <w:tcPr>
            <w:tcW w:type="dxa" w:w="1728"/>
          </w:tcPr>
          <w:p>
            <w:r>
              <w:rPr>
                <w:rFonts w:ascii="Calibri" w:hAnsi="Calibri"/>
                <w:sz w:val="22"/>
              </w:rPr>
              <w:t>VCE / Revenue Ratio (FY)</w:t>
            </w:r>
          </w:p>
        </w:tc>
        <w:tc>
          <w:tcPr>
            <w:tcW w:type="dxa" w:w="1728"/>
          </w:tcPr>
          <w:p>
            <w:r>
              <w:rPr>
                <w:rFonts w:ascii="Calibri" w:hAnsi="Calibri"/>
                <w:sz w:val="22"/>
              </w:rPr>
              <w:t>~44% (below Q1’s 44.7%)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no VCE impact expected from commercial product launches</w:t>
            </w:r>
          </w:p>
        </w:tc>
      </w:tr>
      <w:tr>
        <w:tc>
          <w:tcPr>
            <w:tcW w:type="dxa" w:w="1728"/>
          </w:tcPr>
          <w:p>
            <w:r>
              <w:rPr>
                <w:rFonts w:ascii="Calibri" w:hAnsi="Calibri"/>
                <w:sz w:val="22"/>
              </w:rPr>
              <w:t>Credit Metrics (FY)</w:t>
            </w:r>
          </w:p>
        </w:tc>
        <w:tc>
          <w:tcPr>
            <w:tcW w:type="dxa" w:w="1728"/>
          </w:tcPr>
          <w:p>
            <w:r>
              <w:rPr>
                <w:rFonts w:ascii="Calibri" w:hAnsi="Calibri"/>
                <w:sz w:val="22"/>
              </w:rPr>
              <w:t>Generally stable throughout 2026</w:t>
            </w:r>
          </w:p>
        </w:tc>
        <w:tc>
          <w:tcPr>
            <w:tcW w:type="dxa" w:w="1728"/>
          </w:tcPr>
          <w:p>
            <w:r>
              <w:rPr>
                <w:rFonts w:ascii="Calibri" w:hAnsi="Calibri"/>
                <w:sz w:val="22"/>
              </w:rPr>
              <w:t>—</w:t>
            </w:r>
          </w:p>
        </w:tc>
        <w:tc>
          <w:tcPr>
            <w:tcW w:type="dxa" w:w="1728"/>
          </w:tcPr>
          <w:p>
            <w:r>
              <w:rPr>
                <w:rFonts w:ascii="Calibri" w:hAnsi="Calibri"/>
                <w:sz w:val="22"/>
              </w:rPr>
              <w:t>Write-off ~2.0%; delinquency ~1.14%</w:t>
            </w:r>
          </w:p>
        </w:tc>
        <w:tc>
          <w:tcPr>
            <w:tcW w:type="dxa" w:w="1728"/>
          </w:tcPr>
          <w:p>
            <w:r>
              <w:rPr>
                <w:rFonts w:ascii="Calibri" w:hAnsi="Calibri"/>
                <w:sz w:val="22"/>
              </w:rPr>
              <w:t>Unchanged; Jun 8-K confirmed Q2 write-off rate 1.8% (3-mo avg), delinquency 1.1%</w:t>
            </w:r>
          </w:p>
        </w:tc>
      </w:tr>
      <w:tr>
        <w:tc>
          <w:tcPr>
            <w:tcW w:type="dxa" w:w="1728"/>
          </w:tcPr>
          <w:p>
            <w:r>
              <w:rPr>
                <w:rFonts w:ascii="Calibri" w:hAnsi="Calibri"/>
                <w:sz w:val="22"/>
              </w:rPr>
              <w:t>NII Growth (FY)</w:t>
            </w:r>
          </w:p>
        </w:tc>
        <w:tc>
          <w:tcPr>
            <w:tcW w:type="dxa" w:w="1728"/>
          </w:tcPr>
          <w:p>
            <w:r>
              <w:rPr>
                <w:rFonts w:ascii="Calibri" w:hAnsi="Calibri"/>
                <w:sz w:val="22"/>
              </w:rPr>
              <w:t>Outpace balance growth; double-digit</w:t>
            </w:r>
          </w:p>
        </w:tc>
        <w:tc>
          <w:tcPr>
            <w:tcW w:type="dxa" w:w="1728"/>
          </w:tcPr>
          <w:p>
            <w:r>
              <w:rPr>
                <w:rFonts w:ascii="Calibri" w:hAnsi="Calibri"/>
                <w:sz w:val="22"/>
              </w:rPr>
              <w:t>—</w:t>
            </w:r>
          </w:p>
        </w:tc>
        <w:tc>
          <w:tcPr>
            <w:tcW w:type="dxa" w:w="1728"/>
          </w:tcPr>
          <w:p>
            <w:r>
              <w:rPr>
                <w:rFonts w:ascii="Calibri" w:hAnsi="Calibri"/>
                <w:sz w:val="22"/>
              </w:rPr>
              <w:t>N/A (not separately consensus-tracked)</w:t>
            </w:r>
          </w:p>
        </w:tc>
        <w:tc>
          <w:tcPr>
            <w:tcW w:type="dxa" w:w="1728"/>
          </w:tcPr>
          <w:p>
            <w:r>
              <w:rPr>
                <w:rFonts w:ascii="Calibri" w:hAnsi="Calibri"/>
                <w:sz w:val="22"/>
              </w:rPr>
              <w:t>Unchanged; Amazon/Lowe’s transfer creates low-single-digit NII drag, already in guidance</w:t>
            </w:r>
          </w:p>
        </w:tc>
      </w:tr>
      <w:tr>
        <w:tc>
          <w:tcPr>
            <w:tcW w:type="dxa" w:w="1728"/>
          </w:tcPr>
          <w:p>
            <w:r>
              <w:rPr>
                <w:rFonts w:ascii="Calibri" w:hAnsi="Calibri"/>
                <w:sz w:val="22"/>
              </w:rPr>
              <w:t>GBT Stake Sale Gain</w:t>
            </w:r>
          </w:p>
        </w:tc>
        <w:tc>
          <w:tcPr>
            <w:tcW w:type="dxa" w:w="1728"/>
          </w:tcPr>
          <w:p>
            <w:r>
              <w:rPr>
                <w:rFonts w:ascii="Calibri" w:hAnsi="Calibri"/>
                <w:sz w:val="22"/>
              </w:rPr>
              <w:t>Not in guidance; ~$975M pre-tax gain expected upon close</w:t>
            </w:r>
          </w:p>
        </w:tc>
        <w:tc>
          <w:tcPr>
            <w:tcW w:type="dxa" w:w="1728"/>
          </w:tcPr>
          <w:p>
            <w:r>
              <w:rPr>
                <w:rFonts w:ascii="Calibri" w:hAnsi="Calibri"/>
                <w:sz w:val="22"/>
              </w:rPr>
              <w:t>—</w:t>
            </w:r>
          </w:p>
        </w:tc>
        <w:tc>
          <w:tcPr>
            <w:tcW w:type="dxa" w:w="1728"/>
          </w:tcPr>
          <w:p>
            <w:r>
              <w:rPr>
                <w:rFonts w:ascii="Calibri" w:hAnsi="Calibri"/>
                <w:sz w:val="22"/>
              </w:rPr>
              <w:t>N/A — excluded from consensus</w:t>
            </w:r>
          </w:p>
        </w:tc>
        <w:tc>
          <w:tcPr>
            <w:tcW w:type="dxa" w:w="1728"/>
          </w:tcPr>
          <w:p>
            <w:r>
              <w:rPr>
                <w:rFonts w:ascii="Calibri" w:hAnsi="Calibri"/>
                <w:sz w:val="22"/>
              </w:rPr>
              <w:t>May 4 8-K: proceeds ~$1.5B; gain to be reinvested in tech/card acquisition + partial shareholder return</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Q2 EPS consensus has moved only ~+$0.03 from the post-Q1 baseline, and FY 2026 EPS consensus of $17.59 sits essentially at the guidance midpoint of $17.60. </w:t>
      </w:r>
      <w:r>
        <w:rPr>
          <w:rFonts w:ascii="Calibri" w:hAnsi="Calibri"/>
          <w:b/>
          <w:color w:val="525866"/>
          <w:sz w:val="22"/>
        </w:rPr>
        <w:t>The flat revision trajectory is a cushion, not a risk</w:t>
      </w:r>
      <w:r>
        <w:rPr>
          <w:rFonts w:ascii="Calibri" w:hAnsi="Calibri"/>
          <w:color w:val="525866"/>
          <w:sz w:val="22"/>
        </w:rPr>
        <w:t>: the Street has not chased the upside, leaving room for another beat if management delivers on the spending momentum signals given at conferences.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(c. Apr 30, 2026)</w:t>
            </w:r>
          </w:p>
        </w:tc>
        <w:tc>
          <w:tcPr>
            <w:tcW w:type="dxa" w:w="1080"/>
            <w:shd w:val="clear" w:color="auto" w:fill="3B4259"/>
          </w:tcPr>
          <w:p>
            <w:r>
              <w:rPr>
                <w:rFonts w:ascii="Calibri" w:hAnsi="Calibri"/>
                <w:b/>
                <w:color w:val="FFFFFF"/>
                <w:sz w:val="22"/>
              </w:rPr>
              <w:t>Current Consensus (Jul 23,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Diluted EPS — Operating (Q2 2026)</w:t>
            </w:r>
          </w:p>
        </w:tc>
        <w:tc>
          <w:tcPr>
            <w:tcW w:type="dxa" w:w="1080"/>
          </w:tcPr>
          <w:p>
            <w:r>
              <w:rPr>
                <w:rFonts w:ascii="Calibri" w:hAnsi="Calibri"/>
                <w:sz w:val="22"/>
              </w:rPr>
              <w:t>$4.44</w:t>
            </w:r>
          </w:p>
        </w:tc>
        <w:tc>
          <w:tcPr>
            <w:tcW w:type="dxa" w:w="1080"/>
          </w:tcPr>
          <w:p>
            <w:r>
              <w:rPr>
                <w:rFonts w:ascii="Calibri" w:hAnsi="Calibri"/>
                <w:sz w:val="22"/>
              </w:rPr>
              <w:t>$4.41</w:t>
            </w:r>
          </w:p>
        </w:tc>
        <w:tc>
          <w:tcPr>
            <w:tcW w:type="dxa" w:w="1080"/>
          </w:tcPr>
          <w:p>
            <w:r>
              <w:rPr>
                <w:rFonts w:ascii="Calibri" w:hAnsi="Calibri"/>
                <w:sz w:val="22"/>
              </w:rPr>
              <w:t>-0.7%</w:t>
            </w:r>
          </w:p>
        </w:tc>
        <w:tc>
          <w:tcPr>
            <w:tcW w:type="dxa" w:w="1080"/>
          </w:tcPr>
          <w:p>
            <w:r>
              <w:rPr>
                <w:rFonts w:ascii="Calibri" w:hAnsi="Calibri"/>
                <w:sz w:val="22"/>
              </w:rPr>
              <w:t>N/A (no quarterly EPS guide)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Diluted EPS — Operating (FY 2026)</w:t>
            </w:r>
          </w:p>
        </w:tc>
        <w:tc>
          <w:tcPr>
            <w:tcW w:type="dxa" w:w="1080"/>
          </w:tcPr>
          <w:p>
            <w:r>
              <w:rPr>
                <w:rFonts w:ascii="Calibri" w:hAnsi="Calibri"/>
                <w:sz w:val="22"/>
              </w:rPr>
              <w:t>$17.62</w:t>
            </w:r>
          </w:p>
        </w:tc>
        <w:tc>
          <w:tcPr>
            <w:tcW w:type="dxa" w:w="1080"/>
          </w:tcPr>
          <w:p>
            <w:r>
              <w:rPr>
                <w:rFonts w:ascii="Calibri" w:hAnsi="Calibri"/>
                <w:sz w:val="22"/>
              </w:rPr>
              <w:t>$17.59</w:t>
            </w:r>
          </w:p>
        </w:tc>
        <w:tc>
          <w:tcPr>
            <w:tcW w:type="dxa" w:w="1080"/>
          </w:tcPr>
          <w:p>
            <w:r>
              <w:rPr>
                <w:rFonts w:ascii="Calibri" w:hAnsi="Calibri"/>
                <w:sz w:val="22"/>
              </w:rPr>
              <w:t>-0.2%</w:t>
            </w:r>
          </w:p>
        </w:tc>
        <w:tc>
          <w:tcPr>
            <w:tcW w:type="dxa" w:w="1080"/>
          </w:tcPr>
          <w:p>
            <w:r>
              <w:rPr>
                <w:rFonts w:ascii="Calibri" w:hAnsi="Calibri"/>
                <w:sz w:val="22"/>
              </w:rPr>
              <w:t>$17.30–$17.90 (mid $17.60)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w:t>
            </w:r>
          </w:p>
        </w:tc>
      </w:tr>
      <w:tr>
        <w:tc>
          <w:tcPr>
            <w:tcW w:type="dxa" w:w="1080"/>
          </w:tcPr>
          <w:p>
            <w:r>
              <w:rPr>
                <w:rFonts w:ascii="Calibri" w:hAnsi="Calibri"/>
                <w:sz w:val="22"/>
              </w:rPr>
              <w:t>Total Revenue, Net of Interest Expense (Q2 2026)</w:t>
            </w:r>
          </w:p>
        </w:tc>
        <w:tc>
          <w:tcPr>
            <w:tcW w:type="dxa" w:w="1080"/>
          </w:tcPr>
          <w:p>
            <w:r>
              <w:rPr>
                <w:rFonts w:ascii="Calibri" w:hAnsi="Calibri"/>
                <w:sz w:val="22"/>
              </w:rPr>
              <w:t>$18.26B</w:t>
            </w:r>
          </w:p>
        </w:tc>
        <w:tc>
          <w:tcPr>
            <w:tcW w:type="dxa" w:w="1080"/>
          </w:tcPr>
          <w:p>
            <w:r>
              <w:rPr>
                <w:rFonts w:ascii="Calibri" w:hAnsi="Calibri"/>
                <w:sz w:val="22"/>
              </w:rPr>
              <w:t>$18.38B</w:t>
            </w:r>
          </w:p>
        </w:tc>
        <w:tc>
          <w:tcPr>
            <w:tcW w:type="dxa" w:w="1080"/>
          </w:tcPr>
          <w:p>
            <w:r>
              <w:rPr>
                <w:rFonts w:ascii="Calibri" w:hAnsi="Calibri"/>
                <w:sz w:val="22"/>
              </w:rPr>
              <w:t>+0.7%</w:t>
            </w:r>
          </w:p>
        </w:tc>
        <w:tc>
          <w:tcPr>
            <w:tcW w:type="dxa" w:w="1080"/>
          </w:tcPr>
          <w:p>
            <w:r>
              <w:rPr>
                <w:rFonts w:ascii="Calibri" w:hAnsi="Calibri"/>
                <w:sz w:val="22"/>
              </w:rPr>
              <w:t>9–10%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within range</w:t>
            </w:r>
          </w:p>
        </w:tc>
      </w:tr>
      <w:tr>
        <w:tc>
          <w:tcPr>
            <w:tcW w:type="dxa" w:w="1080"/>
          </w:tcPr>
          <w:p>
            <w:r>
              <w:rPr>
                <w:rFonts w:ascii="Calibri" w:hAnsi="Calibri"/>
                <w:sz w:val="22"/>
              </w:rPr>
              <w:t>Total Revenue, Net of Interest Expense (FY 2026)</w:t>
            </w:r>
          </w:p>
        </w:tc>
        <w:tc>
          <w:tcPr>
            <w:tcW w:type="dxa" w:w="1080"/>
          </w:tcPr>
          <w:p>
            <w:r>
              <w:rPr>
                <w:rFonts w:ascii="Calibri" w:hAnsi="Calibri"/>
                <w:sz w:val="22"/>
              </w:rPr>
              <w:t>$73.93B</w:t>
            </w:r>
          </w:p>
        </w:tc>
        <w:tc>
          <w:tcPr>
            <w:tcW w:type="dxa" w:w="1080"/>
          </w:tcPr>
          <w:p>
            <w:r>
              <w:rPr>
                <w:rFonts w:ascii="Calibri" w:hAnsi="Calibri"/>
                <w:sz w:val="22"/>
              </w:rPr>
              <w:t>$74.12B</w:t>
            </w:r>
          </w:p>
        </w:tc>
        <w:tc>
          <w:tcPr>
            <w:tcW w:type="dxa" w:w="1080"/>
          </w:tcPr>
          <w:p>
            <w:r>
              <w:rPr>
                <w:rFonts w:ascii="Calibri" w:hAnsi="Calibri"/>
                <w:sz w:val="22"/>
              </w:rPr>
              <w:t>+0.3%</w:t>
            </w:r>
          </w:p>
        </w:tc>
        <w:tc>
          <w:tcPr>
            <w:tcW w:type="dxa" w:w="1080"/>
          </w:tcPr>
          <w:p>
            <w:r>
              <w:rPr>
                <w:rFonts w:ascii="Calibri" w:hAnsi="Calibri"/>
                <w:sz w:val="22"/>
              </w:rPr>
              <w:t>9–10% FY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within range</w:t>
            </w:r>
          </w:p>
        </w:tc>
      </w:tr>
      <w:tr>
        <w:tc>
          <w:tcPr>
            <w:tcW w:type="dxa" w:w="1080"/>
          </w:tcPr>
          <w:p>
            <w:r>
              <w:rPr>
                <w:rFonts w:ascii="Calibri" w:hAnsi="Calibri"/>
                <w:sz w:val="22"/>
              </w:rPr>
              <w:t>Billed Business (Q2 2026)</w:t>
            </w:r>
          </w:p>
        </w:tc>
        <w:tc>
          <w:tcPr>
            <w:tcW w:type="dxa" w:w="1080"/>
          </w:tcPr>
          <w:p>
            <w:r>
              <w:rPr>
                <w:rFonts w:ascii="Calibri" w:hAnsi="Calibri"/>
                <w:sz w:val="22"/>
              </w:rPr>
              <w:t>$452.2B</w:t>
            </w:r>
          </w:p>
        </w:tc>
        <w:tc>
          <w:tcPr>
            <w:tcW w:type="dxa" w:w="1080"/>
          </w:tcPr>
          <w:p>
            <w:r>
              <w:rPr>
                <w:rFonts w:ascii="Calibri" w:hAnsi="Calibri"/>
                <w:sz w:val="22"/>
              </w:rPr>
              <w:t>$455.7B</w:t>
            </w:r>
          </w:p>
        </w:tc>
        <w:tc>
          <w:tcPr>
            <w:tcW w:type="dxa" w:w="1080"/>
          </w:tcPr>
          <w:p>
            <w:r>
              <w:rPr>
                <w:rFonts w:ascii="Calibri" w:hAnsi="Calibri"/>
                <w:sz w:val="22"/>
              </w:rPr>
              <w:t>+0.8%</w:t>
            </w:r>
          </w:p>
        </w:tc>
        <w:tc>
          <w:tcPr>
            <w:tcW w:type="dxa" w:w="1080"/>
          </w:tcPr>
          <w:p>
            <w:r>
              <w:rPr>
                <w:rFonts w:ascii="Calibri" w:hAnsi="Calibri"/>
                <w:sz w:val="22"/>
              </w:rPr>
              <w:t>N/A (no explicit quarterly guide)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Card Fees (Q2 2026)</w:t>
            </w:r>
          </w:p>
        </w:tc>
        <w:tc>
          <w:tcPr>
            <w:tcW w:type="dxa" w:w="1080"/>
          </w:tcPr>
          <w:p>
            <w:r>
              <w:rPr>
                <w:rFonts w:ascii="Calibri" w:hAnsi="Calibri"/>
                <w:sz w:val="22"/>
              </w:rPr>
              <w:t>$2.897B</w:t>
            </w:r>
          </w:p>
        </w:tc>
        <w:tc>
          <w:tcPr>
            <w:tcW w:type="dxa" w:w="1080"/>
          </w:tcPr>
          <w:p>
            <w:r>
              <w:rPr>
                <w:rFonts w:ascii="Calibri" w:hAnsi="Calibri"/>
                <w:sz w:val="22"/>
              </w:rPr>
              <w:t>$2.901B</w:t>
            </w:r>
          </w:p>
        </w:tc>
        <w:tc>
          <w:tcPr>
            <w:tcW w:type="dxa" w:w="1080"/>
          </w:tcPr>
          <w:p>
            <w:r>
              <w:rPr>
                <w:rFonts w:ascii="Calibri" w:hAnsi="Calibri"/>
                <w:sz w:val="22"/>
              </w:rPr>
              <w:t>+0.1%</w:t>
            </w:r>
          </w:p>
        </w:tc>
        <w:tc>
          <w:tcPr>
            <w:tcW w:type="dxa" w:w="1080"/>
          </w:tcPr>
          <w:p>
            <w:r>
              <w:rPr>
                <w:rFonts w:ascii="Calibri" w:hAnsi="Calibri"/>
                <w:sz w:val="22"/>
              </w:rPr>
              <w:t>High-teens growth exiting 2026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to guidance</w:t>
            </w:r>
          </w:p>
        </w:tc>
      </w:tr>
    </w:tbl>
    <w:p>
      <w:r>
        <w:rPr>
          <w:rFonts w:ascii="Calibri" w:hAnsi="Calibri"/>
          <w:i/>
          <w:color w:val="525866"/>
          <w:sz w:val="22"/>
        </w:rPr>
        <w:t xml:space="preserve">Source: Visible Alpha Consensus and Actuals Data. </w:t>
      </w:r>
      <w:r>
        <w:rPr>
          <w:rFonts w:ascii="Calibri" w:hAnsi="Calibri"/>
          <w:i/>
          <w:color w:val="525866"/>
          <w:sz w:val="22"/>
        </w:rPr>
        <w:t>Post-Q1 baseline (Apr 30, 2026) reflects consensus approximately 5 trading days after the April 23, 2026 earnings release.</w:t>
      </w:r>
    </w:p>
    <w:p>
      <w:r>
        <w:rPr>
          <w:rFonts w:ascii="Calibri" w:hAnsi="Calibri"/>
          <w:b/>
          <w:color w:val="525866"/>
          <w:sz w:val="22"/>
        </w:rPr>
        <w:t xml:space="preserve">Commentary: </w:t>
      </w:r>
      <w:r>
        <w:rPr>
          <w:rFonts w:ascii="Calibri" w:hAnsi="Calibri"/>
          <w:color w:val="525866"/>
          <w:sz w:val="22"/>
        </w:rPr>
        <w:t>The near-zero revision delta across all KPIs since the Q1 print is notable — it reflects a Street that took management's guidance reaffirmation at face value and did not aggressively revise up despite the conference-circuit commentary pointing to Q2 tracking ahead of Q1. This creates an asymmetric setup: if billed business comes in at or above the ~$456B consensus and management delivers another EPS beat, the revision cycle could accelerate into the back half of the year, particularly as the Platinum refresh anniversary fees continue to compound.</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AXP's post-Q1 stock performance has been driven primarily by </w:t>
      </w:r>
      <w:r>
        <w:rPr>
          <w:rFonts w:ascii="Calibri" w:hAnsi="Calibri"/>
          <w:b/>
          <w:color w:val="525866"/>
          <w:sz w:val="22"/>
        </w:rPr>
        <w:t>multiple recovery rather than estimate revisions</w:t>
      </w:r>
      <w:r>
        <w:rPr>
          <w:rFonts w:ascii="Calibri" w:hAnsi="Calibri"/>
          <w:color w:val="525866"/>
          <w:sz w:val="22"/>
        </w:rPr>
        <w:t xml:space="preserve"> — the stock sold off ~4% on earnings day (April 23) despite a strong beat, then recovered and is now up ~+2.4% over the 3-month window vs. XLF's similar gain, suggesting the market has re-rated the reinvestment story but has not yet priced in a sustained acceleration.</w:t>
      </w:r>
    </w:p>
    <w:p>
      <w:r>
        <w:rPr>
          <w:rFonts w:ascii="Calibri" w:hAnsi="Calibri"/>
          <w:b/>
          <w:color w:val="525866"/>
          <w:sz w:val="22"/>
        </w:rPr>
        <w:t>Stock Performance Summary (Since Last Earnings: April 23,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AXP</w:t>
            </w:r>
          </w:p>
        </w:tc>
        <w:tc>
          <w:tcPr>
            <w:tcW w:type="dxa" w:w="2160"/>
            <w:shd w:val="clear" w:color="auto" w:fill="3B4259"/>
          </w:tcPr>
          <w:p>
            <w:r>
              <w:rPr>
                <w:rFonts w:ascii="Calibri" w:hAnsi="Calibri"/>
                <w:b/>
                <w:color w:val="FFFFFF"/>
                <w:sz w:val="22"/>
              </w:rPr>
              <w:t>XLF (Financial Select Sector SPDR)</w:t>
            </w:r>
          </w:p>
        </w:tc>
        <w:tc>
          <w:tcPr>
            <w:tcW w:type="dxa" w:w="2160"/>
            <w:shd w:val="clear" w:color="auto" w:fill="3B4259"/>
          </w:tcPr>
          <w:p>
            <w:r>
              <w:rPr>
                <w:rFonts w:ascii="Calibri" w:hAnsi="Calibri"/>
                <w:b/>
                <w:color w:val="FFFFFF"/>
                <w:sz w:val="22"/>
              </w:rPr>
              <w:t>SPY (S&amp;P 500)</w:t>
            </w:r>
          </w:p>
        </w:tc>
      </w:tr>
      <w:tr>
        <w:tc>
          <w:tcPr>
            <w:tcW w:type="dxa" w:w="2160"/>
          </w:tcPr>
          <w:p>
            <w:r>
              <w:rPr>
                <w:rFonts w:ascii="Calibri" w:hAnsi="Calibri"/>
                <w:sz w:val="22"/>
              </w:rPr>
              <w:t>Price at Last Earnings (Apr 22 close)</w:t>
            </w:r>
          </w:p>
        </w:tc>
        <w:tc>
          <w:tcPr>
            <w:tcW w:type="dxa" w:w="2160"/>
          </w:tcPr>
          <w:p>
            <w:r>
              <w:rPr>
                <w:rFonts w:ascii="Calibri" w:hAnsi="Calibri"/>
                <w:sz w:val="22"/>
              </w:rPr>
              <w:t>$332.90</w:t>
            </w:r>
          </w:p>
        </w:tc>
        <w:tc>
          <w:tcPr>
            <w:tcW w:type="dxa" w:w="2160"/>
          </w:tcPr>
          <w:p>
            <w:r>
              <w:rPr>
                <w:rFonts w:ascii="Calibri" w:hAnsi="Calibri"/>
                <w:sz w:val="22"/>
              </w:rPr>
              <w:t>$52.21</w:t>
            </w:r>
          </w:p>
        </w:tc>
        <w:tc>
          <w:tcPr>
            <w:tcW w:type="dxa" w:w="2160"/>
          </w:tcPr>
          <w:p>
            <w:r>
              <w:rPr>
                <w:rFonts w:ascii="Calibri" w:hAnsi="Calibri"/>
                <w:sz w:val="22"/>
              </w:rPr>
              <w:t>$711.21</w:t>
            </w:r>
          </w:p>
        </w:tc>
      </w:tr>
      <w:tr>
        <w:tc>
          <w:tcPr>
            <w:tcW w:type="dxa" w:w="2160"/>
          </w:tcPr>
          <w:p>
            <w:r>
              <w:rPr>
                <w:rFonts w:ascii="Calibri" w:hAnsi="Calibri"/>
                <w:sz w:val="22"/>
              </w:rPr>
              <w:t>Earnings Day Reaction (Apr 23)</w:t>
            </w:r>
          </w:p>
        </w:tc>
        <w:tc>
          <w:tcPr>
            <w:tcW w:type="dxa" w:w="2160"/>
          </w:tcPr>
          <w:p>
            <w:r>
              <w:rPr>
                <w:rFonts w:ascii="Calibri" w:hAnsi="Calibri"/>
                <w:sz w:val="22"/>
              </w:rPr>
              <w:t>-$14.35 / -4.3%</w:t>
            </w:r>
          </w:p>
        </w:tc>
        <w:tc>
          <w:tcPr>
            <w:tcW w:type="dxa" w:w="2160"/>
          </w:tcPr>
          <w:p>
            <w:r>
              <w:rPr>
                <w:rFonts w:ascii="Calibri" w:hAnsi="Calibri"/>
                <w:sz w:val="22"/>
              </w:rPr>
              <w:t>-$0.41 / -0.8%</w:t>
            </w:r>
          </w:p>
        </w:tc>
        <w:tc>
          <w:tcPr>
            <w:tcW w:type="dxa" w:w="2160"/>
          </w:tcPr>
          <w:p>
            <w:r>
              <w:rPr>
                <w:rFonts w:ascii="Calibri" w:hAnsi="Calibri"/>
                <w:sz w:val="22"/>
              </w:rPr>
              <w:t>-$2.76 / -0.4%</w:t>
            </w:r>
          </w:p>
        </w:tc>
      </w:tr>
      <w:tr>
        <w:tc>
          <w:tcPr>
            <w:tcW w:type="dxa" w:w="2160"/>
          </w:tcPr>
          <w:p>
            <w:r>
              <w:rPr>
                <w:rFonts w:ascii="Calibri" w:hAnsi="Calibri"/>
                <w:sz w:val="22"/>
              </w:rPr>
              <w:t>Price as of Jul 22, 2026 (last close)</w:t>
            </w:r>
          </w:p>
        </w:tc>
        <w:tc>
          <w:tcPr>
            <w:tcW w:type="dxa" w:w="2160"/>
          </w:tcPr>
          <w:p>
            <w:r>
              <w:rPr>
                <w:rFonts w:ascii="Calibri" w:hAnsi="Calibri"/>
                <w:sz w:val="22"/>
              </w:rPr>
              <w:t>$348.74</w:t>
            </w:r>
          </w:p>
        </w:tc>
        <w:tc>
          <w:tcPr>
            <w:tcW w:type="dxa" w:w="2160"/>
          </w:tcPr>
          <w:p>
            <w:r>
              <w:rPr>
                <w:rFonts w:ascii="Calibri" w:hAnsi="Calibri"/>
                <w:sz w:val="22"/>
              </w:rPr>
              <w:t>$56.05</w:t>
            </w:r>
          </w:p>
        </w:tc>
        <w:tc>
          <w:tcPr>
            <w:tcW w:type="dxa" w:w="2160"/>
          </w:tcPr>
          <w:p>
            <w:r>
              <w:rPr>
                <w:rFonts w:ascii="Calibri" w:hAnsi="Calibri"/>
                <w:sz w:val="22"/>
              </w:rPr>
              <w:t>$747.41</w:t>
            </w:r>
          </w:p>
        </w:tc>
      </w:tr>
      <w:tr>
        <w:tc>
          <w:tcPr>
            <w:tcW w:type="dxa" w:w="2160"/>
          </w:tcPr>
          <w:p>
            <w:r>
              <w:rPr>
                <w:rFonts w:ascii="Calibri" w:hAnsi="Calibri"/>
                <w:sz w:val="22"/>
              </w:rPr>
              <w:t>Return Since Last Earnings (Apr 22 → Jul 22)</w:t>
            </w:r>
          </w:p>
        </w:tc>
        <w:tc>
          <w:tcPr>
            <w:tcW w:type="dxa" w:w="2160"/>
          </w:tcPr>
          <w:p>
            <w:r>
              <w:rPr>
                <w:rFonts w:ascii="Calibri" w:hAnsi="Calibri"/>
                <w:sz w:val="22"/>
              </w:rPr>
              <w:t>+4.7%</w:t>
            </w:r>
          </w:p>
        </w:tc>
        <w:tc>
          <w:tcPr>
            <w:tcW w:type="dxa" w:w="2160"/>
          </w:tcPr>
          <w:p>
            <w:r>
              <w:rPr>
                <w:rFonts w:ascii="Calibri" w:hAnsi="Calibri"/>
                <w:sz w:val="22"/>
              </w:rPr>
              <w:t>+7.3%</w:t>
            </w:r>
          </w:p>
        </w:tc>
        <w:tc>
          <w:tcPr>
            <w:tcW w:type="dxa" w:w="2160"/>
          </w:tcPr>
          <w:p>
            <w:r>
              <w:rPr>
                <w:rFonts w:ascii="Calibri" w:hAnsi="Calibri"/>
                <w:sz w:val="22"/>
              </w:rPr>
              <w:t>+5.1%</w:t>
            </w:r>
          </w:p>
        </w:tc>
      </w:tr>
      <w:tr>
        <w:tc>
          <w:tcPr>
            <w:tcW w:type="dxa" w:w="2160"/>
          </w:tcPr>
          <w:p>
            <w:r>
              <w:rPr>
                <w:rFonts w:ascii="Calibri" w:hAnsi="Calibri"/>
                <w:sz w:val="22"/>
              </w:rPr>
              <w:t>Indexed Return (Base = 100 at Apr 22)</w:t>
            </w:r>
          </w:p>
        </w:tc>
        <w:tc>
          <w:tcPr>
            <w:tcW w:type="dxa" w:w="2160"/>
          </w:tcPr>
          <w:p>
            <w:r>
              <w:rPr>
                <w:rFonts w:ascii="Calibri" w:hAnsi="Calibri"/>
                <w:sz w:val="22"/>
              </w:rPr>
              <w:t>104.7</w:t>
            </w:r>
          </w:p>
        </w:tc>
        <w:tc>
          <w:tcPr>
            <w:tcW w:type="dxa" w:w="2160"/>
          </w:tcPr>
          <w:p>
            <w:r>
              <w:rPr>
                <w:rFonts w:ascii="Calibri" w:hAnsi="Calibri"/>
                <w:sz w:val="22"/>
              </w:rPr>
              <w:t>107.3</w:t>
            </w:r>
          </w:p>
        </w:tc>
        <w:tc>
          <w:tcPr>
            <w:tcW w:type="dxa" w:w="2160"/>
          </w:tcPr>
          <w:p>
            <w:r>
              <w:rPr>
                <w:rFonts w:ascii="Calibri" w:hAnsi="Calibri"/>
                <w:sz w:val="22"/>
              </w:rPr>
              <w:t>105.1</w:t>
            </w:r>
          </w:p>
        </w:tc>
      </w:tr>
      <w:tr>
        <w:tc>
          <w:tcPr>
            <w:tcW w:type="dxa" w:w="2160"/>
          </w:tcPr>
          <w:p>
            <w:r>
              <w:rPr>
                <w:rFonts w:ascii="Calibri" w:hAnsi="Calibri"/>
                <w:sz w:val="22"/>
              </w:rPr>
              <w:t>Current NTM P/E</w:t>
            </w:r>
          </w:p>
        </w:tc>
        <w:tc>
          <w:tcPr>
            <w:tcW w:type="dxa" w:w="2160"/>
          </w:tcPr>
          <w:p>
            <w:r>
              <w:rPr>
                <w:rFonts w:ascii="Calibri" w:hAnsi="Calibri"/>
                <w:sz w:val="22"/>
              </w:rPr>
              <w:t>18.3x</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NTM P/E at Last Earnings (Apr 22)</w:t>
            </w:r>
          </w:p>
        </w:tc>
        <w:tc>
          <w:tcPr>
            <w:tcW w:type="dxa" w:w="2160"/>
          </w:tcPr>
          <w:p>
            <w:r>
              <w:rPr>
                <w:rFonts w:ascii="Calibri" w:hAnsi="Calibri"/>
                <w:sz w:val="22"/>
              </w:rPr>
              <w:t>~18.0x</w:t>
            </w:r>
          </w:p>
        </w:tc>
        <w:tc>
          <w:tcPr>
            <w:tcW w:type="dxa" w:w="2160"/>
          </w:tcPr>
          <w:p>
            <w:r>
              <w:rPr>
                <w:rFonts w:ascii="Calibri" w:hAnsi="Calibri"/>
                <w:sz w:val="22"/>
              </w:rPr>
              <w:t>N/A</w:t>
            </w:r>
          </w:p>
        </w:tc>
        <w:tc>
          <w:tcPr>
            <w:tcW w:type="dxa" w:w="2160"/>
          </w:tcPr>
          <w:p>
            <w:r>
              <w:rPr>
                <w:rFonts w:ascii="Calibri" w:hAnsi="Calibri"/>
                <w:sz w:val="22"/>
              </w:rPr>
              <w:t>N/A</w:t>
            </w:r>
          </w:p>
        </w:tc>
      </w:tr>
    </w:tbl>
    <w:p>
      <w:r>
        <w:rPr>
          <w:rFonts w:ascii="Calibri" w:hAnsi="Calibri"/>
          <w:i/>
          <w:color w:val="525866"/>
          <w:sz w:val="22"/>
        </w:rPr>
        <w:t>Source: Stock Price Data (Yahoo Finance). Sector ETF: XLF (Financial Select Sector SPDR Fund) — appropriate for AXP given its classification in the Financials sector (Consumer Finance / Payments sub-sector).</w:t>
      </w:r>
    </w:p>
    <w:p>
      <w:r>
        <w:rPr>
          <w:rFonts w:ascii="Calibri" w:hAnsi="Calibri"/>
          <w:b/>
          <w:color w:val="525866"/>
          <w:sz w:val="22"/>
        </w:rPr>
        <w:t xml:space="preserve">Key Observations: </w:t>
      </w:r>
      <w:r>
        <w:rPr>
          <w:rFonts w:ascii="Calibri" w:hAnsi="Calibri"/>
          <w:color w:val="525866"/>
          <w:sz w:val="22"/>
        </w:rPr>
        <w:t xml:space="preserve">AXP sold off sharply on Q1 earnings day (April 23, -4.3%) despite a strong beat, as investors focused on management's decision to reinvest outperformance rather than flow it to the bottom line, and on the late-quarter airline spending softness. The stock then bottomed in mid-May (~$309) as macro uncertainty peaked, before recovering strongly through June and early July as conference-circuit commentary confirmed Q2 spending running ahead of Q1. The stock reached a high of ~$361 on July 16 before pulling back modestly into the print. </w:t>
      </w:r>
      <w:r>
        <w:rPr>
          <w:rFonts w:ascii="Calibri" w:hAnsi="Calibri"/>
          <w:b/>
          <w:color w:val="525866"/>
          <w:sz w:val="22"/>
        </w:rPr>
        <w:t>AXP has underperformed XLF by ~2.6 percentage points since last earnings</w:t>
      </w:r>
      <w:r>
        <w:rPr>
          <w:rFonts w:ascii="Calibri" w:hAnsi="Calibri"/>
          <w:color w:val="525866"/>
          <w:sz w:val="22"/>
        </w:rPr>
        <w:t>, suggesting the financial sector broadly re-rated more than AXP specifically — the stock's multiple has been essentially flat (18.0x → 18.3x NTM P/E), meaning the modest price gain is almost entirely earnings-driven rather than multiple expansion. The 6-month P/E compression of -8.6% (from ~20x) reflects the tariff/macro selloff in February–March 2026.</w:t>
      </w:r>
    </w:p>
    <w:p>
      <w:r>
        <w:rPr>
          <w:rFonts w:ascii="Calibri" w:hAnsi="Calibri"/>
          <w:b/>
          <w:color w:val="525866"/>
          <w:sz w:val="22"/>
        </w:rPr>
        <w:t>Material Events Since Last Earnings (Marked on Chart):</w:t>
      </w:r>
    </w:p>
    <w:p>
      <w:pPr>
        <w:pStyle w:val="ListBullet"/>
        <w:ind w:left="360" w:hanging="360"/>
      </w:pPr>
      <w:r>
        <w:rPr>
          <w:rFonts w:ascii="Calibri" w:hAnsi="Calibri"/>
          <w:b/>
          <w:color w:val="525866"/>
          <w:sz w:val="22"/>
        </w:rPr>
        <w:t>Apr 23, 2026:</w:t>
      </w:r>
      <w:r>
        <w:rPr>
          <w:rFonts w:ascii="Calibri" w:hAnsi="Calibri"/>
          <w:color w:val="525866"/>
          <w:sz w:val="22"/>
        </w:rPr>
        <w:t xml:space="preserve"> Q1 2026 earnings beat; stock -4.3% on reinvestment decision and airline softness commentary</w:t>
      </w:r>
    </w:p>
    <w:p>
      <w:pPr>
        <w:pStyle w:val="ListBullet"/>
        <w:ind w:left="360" w:hanging="360"/>
      </w:pPr>
      <w:r>
        <w:rPr>
          <w:rFonts w:ascii="Calibri" w:hAnsi="Calibri"/>
          <w:b/>
          <w:color w:val="525866"/>
          <w:sz w:val="22"/>
        </w:rPr>
        <w:t>May 4, 2026:</w:t>
      </w:r>
      <w:r>
        <w:rPr>
          <w:rFonts w:ascii="Calibri" w:hAnsi="Calibri"/>
          <w:color w:val="525866"/>
          <w:sz w:val="22"/>
        </w:rPr>
        <w:t xml:space="preserve"> 8-K: GBT stake sale announced; ~$975M pre-tax gain, ~$1.5B proceeds; gain excluded from guidance</w:t>
      </w:r>
    </w:p>
    <w:p>
      <w:pPr>
        <w:pStyle w:val="ListBullet"/>
        <w:ind w:left="360" w:hanging="360"/>
      </w:pPr>
      <w:r>
        <w:rPr>
          <w:rFonts w:ascii="Calibri" w:hAnsi="Calibri"/>
          <w:b/>
          <w:color w:val="525866"/>
          <w:sz w:val="22"/>
        </w:rPr>
        <w:t>May 28, 2026:</w:t>
      </w:r>
      <w:r>
        <w:rPr>
          <w:rFonts w:ascii="Calibri" w:hAnsi="Calibri"/>
          <w:color w:val="525866"/>
          <w:sz w:val="22"/>
        </w:rPr>
        <w:t xml:space="preserve"> Bernstein Conference: CFO confirmed Q2 QTD billed business slightly ahead of Q1; airline spending recovered to 9% in April; credit stable</w:t>
      </w:r>
    </w:p>
    <w:p>
      <w:pPr>
        <w:pStyle w:val="ListBullet"/>
        <w:ind w:left="360" w:hanging="360"/>
      </w:pPr>
      <w:r>
        <w:rPr>
          <w:rFonts w:ascii="Calibri" w:hAnsi="Calibri"/>
          <w:b/>
          <w:color w:val="525866"/>
          <w:sz w:val="22"/>
        </w:rPr>
        <w:t>Jun 9, 2026:</w:t>
      </w:r>
      <w:r>
        <w:rPr>
          <w:rFonts w:ascii="Calibri" w:hAnsi="Calibri"/>
          <w:color w:val="525866"/>
          <w:sz w:val="22"/>
        </w:rPr>
        <w:t xml:space="preserve"> Morgan Stanley U.S. Financials Conference: CFO reiterated Q2 tracking ahead of Q1; strength across portfolio; no credit inflection</w:t>
      </w:r>
    </w:p>
    <w:p>
      <w:pPr>
        <w:pStyle w:val="ListBullet"/>
        <w:ind w:left="360" w:hanging="360"/>
      </w:pPr>
      <w:r>
        <w:rPr>
          <w:rFonts w:ascii="Calibri" w:hAnsi="Calibri"/>
          <w:b/>
          <w:color w:val="525866"/>
          <w:sz w:val="22"/>
        </w:rPr>
        <w:t>Jul 15, 2026:</w:t>
      </w:r>
      <w:r>
        <w:rPr>
          <w:rFonts w:ascii="Calibri" w:hAnsi="Calibri"/>
          <w:color w:val="525866"/>
          <w:sz w:val="22"/>
        </w:rPr>
        <w:t xml:space="preserve"> 8-K: June credit statistics; Q2 write-off rate 1.8% (3-mo avg, aided by ~0.3% from written-off balance sale); delinquency 1.1% — best-in-class</w:t>
      </w:r>
    </w:p>
    <w:p>
      <w:r>
        <w:br w:type="page"/>
      </w:r>
    </w:p>
    <w:p>
      <w:pPr>
        <w:pStyle w:val="Heading1"/>
        <w:pBdr>
          <w:bottom w:val="single" w:sz="4" w:space="1" w:color="FB9120"/>
        </w:pBdr>
      </w:pPr>
      <w:r>
        <w:rPr>
          <w:rFonts w:ascii="Calibri" w:hAnsi="Calibri"/>
          <w:b/>
          <w:color w:val="3B4259"/>
          <w:sz w:val="40"/>
        </w:rPr>
        <w:t>6. Peer Commentary &amp; Current-Quarter Read-Through</w:t>
      </w:r>
    </w:p>
    <w:p>
      <w:r>
        <w:rPr>
          <w:rFonts w:ascii="Calibri" w:hAnsi="Calibri"/>
          <w:b/>
          <w:color w:val="525866"/>
          <w:sz w:val="22"/>
        </w:rPr>
        <w:t xml:space="preserve">Key Takeaway: </w:t>
      </w:r>
      <w:r>
        <w:rPr>
          <w:rFonts w:ascii="Calibri" w:hAnsi="Calibri"/>
          <w:color w:val="525866"/>
          <w:sz w:val="22"/>
        </w:rPr>
        <w:t xml:space="preserve">Peer commentary from Q2 2026 (April–July 2026) is </w:t>
      </w:r>
      <w:r>
        <w:rPr>
          <w:rFonts w:ascii="Calibri" w:hAnsi="Calibri"/>
          <w:b/>
          <w:color w:val="525866"/>
          <w:sz w:val="22"/>
        </w:rPr>
        <w:t>uniformly positive for AXP</w:t>
      </w:r>
      <w:r>
        <w:rPr>
          <w:rFonts w:ascii="Calibri" w:hAnsi="Calibri"/>
          <w:color w:val="525866"/>
          <w:sz w:val="22"/>
        </w:rPr>
        <w:t xml:space="preserve"> — Visa and Mastercard both confirmed resilient-to-improving consumer spending through mid-May, Capital One's Q2 2026 earnings (July 21) showed the strongest credit improvement in years with charge-offs down 54 bps YoY and upmarket spending "absolutely humming," and Synchrony's Q2 2026 print showed 8% purchase volume growth reaching an all-time high. The read-through is constructive across all three dimensions AXP investors care about: spending volumes, credit quality, and premium consumer resilience.</w:t>
      </w:r>
    </w:p>
    <w:p>
      <w:r>
        <w:rPr>
          <w:rFonts w:ascii="Calibri" w:hAnsi="Calibri"/>
          <w:b/>
          <w:i/>
          <w:color w:val="525866"/>
          <w:sz w:val="22"/>
        </w:rPr>
        <w:t xml:space="preserve">Screening Note: </w:t>
      </w:r>
      <w:r>
        <w:rPr>
          <w:rFonts w:ascii="Calibri" w:hAnsi="Calibri"/>
          <w:i/>
          <w:color w:val="525866"/>
          <w:sz w:val="22"/>
        </w:rPr>
        <w:t>Only commentary made during or about the current reporting quarter (Q2 2026, April–June 2026) is included below. Retrospective prior-quarter-only discussion has been excluded. COF and SYF Q2 2026 earnings calls (July 21, 2026) are included as they report on the same calendar quarter as AXP's upcoming print.</w:t>
      </w:r>
    </w:p>
    <w:p>
      <w:pPr>
        <w:pStyle w:val="Heading2"/>
      </w:pPr>
      <w:r>
        <w:rPr>
          <w:rFonts w:ascii="Calibri" w:hAnsi="Calibri"/>
          <w:b/>
          <w:color w:val="3B4259"/>
          <w:sz w:val="28"/>
        </w:rPr>
        <w:t>Visa (V) — Bernstein Strategic Decisions Conference, May 28, 2026</w:t>
      </w:r>
    </w:p>
    <w:p>
      <w:r>
        <w:rPr>
          <w:rFonts w:ascii="Calibri" w:hAnsi="Calibri"/>
          <w:b/>
          <w:color w:val="525866"/>
          <w:sz w:val="22"/>
        </w:rPr>
        <w:t xml:space="preserve">Relevance: </w:t>
      </w:r>
      <w:r>
        <w:rPr>
          <w:rFonts w:ascii="Calibri" w:hAnsi="Calibri"/>
          <w:color w:val="525866"/>
          <w:sz w:val="22"/>
        </w:rPr>
        <w:t>Visa's CEO Ryan McInerney provided real-time Q2 spending data through May 14, 2026 — directly within AXP's Q2 reporting window.</w:t>
      </w:r>
    </w:p>
    <w:p>
      <w:pPr>
        <w:pStyle w:val="ListBullet"/>
        <w:ind w:left="360" w:hanging="360"/>
      </w:pPr>
      <w:r>
        <w:rPr>
          <w:rFonts w:ascii="Calibri" w:hAnsi="Calibri"/>
          <w:color w:val="525866"/>
          <w:sz w:val="22"/>
        </w:rPr>
        <w:t>"</w:t>
      </w:r>
      <w:r>
        <w:rPr>
          <w:rFonts w:ascii="Calibri" w:hAnsi="Calibri"/>
          <w:b/>
          <w:color w:val="525866"/>
          <w:sz w:val="22"/>
        </w:rPr>
        <w:t>Enormous amount of resilience, strong consumer spending, broad-based</w:t>
      </w:r>
      <w:r>
        <w:rPr>
          <w:rFonts w:ascii="Calibri" w:hAnsi="Calibri"/>
          <w:color w:val="525866"/>
          <w:sz w:val="22"/>
        </w:rPr>
        <w:t>" — both domestically and internationally, across all spending bands from highest to lowest. Discretionary and non-discretionary both "remaining very stable and resilient" in the U.S.</w:t>
      </w:r>
    </w:p>
    <w:p>
      <w:pPr>
        <w:pStyle w:val="ListBullet"/>
        <w:ind w:left="360" w:hanging="360"/>
      </w:pPr>
      <w:r>
        <w:rPr>
          <w:rFonts w:ascii="Calibri" w:hAnsi="Calibri"/>
          <w:color w:val="525866"/>
          <w:sz w:val="22"/>
        </w:rPr>
        <w:t>Updated data through May 14, 2026 showed "</w:t>
      </w:r>
      <w:r>
        <w:rPr>
          <w:rFonts w:ascii="Calibri" w:hAnsi="Calibri"/>
          <w:b/>
          <w:color w:val="525866"/>
          <w:sz w:val="22"/>
        </w:rPr>
        <w:t>slight improvement across the board</w:t>
      </w:r>
      <w:r>
        <w:rPr>
          <w:rFonts w:ascii="Calibri" w:hAnsi="Calibri"/>
          <w:color w:val="525866"/>
          <w:sz w:val="22"/>
        </w:rPr>
        <w:t>" in U.S. domestic spending, payment transactions, and cross-border — and McInerney confirmed this trend "continue[s] today" (May 28).</w:t>
      </w:r>
    </w:p>
    <w:p>
      <w:pPr>
        <w:pStyle w:val="ListBullet"/>
        <w:ind w:left="360" w:hanging="360"/>
      </w:pPr>
      <w:r>
        <w:rPr>
          <w:rFonts w:ascii="Calibri" w:hAnsi="Calibri"/>
          <w:color w:val="525866"/>
          <w:sz w:val="22"/>
        </w:rPr>
        <w:t>Cross-border: "</w:t>
      </w:r>
      <w:r>
        <w:rPr>
          <w:rFonts w:ascii="Calibri" w:hAnsi="Calibri"/>
          <w:b/>
          <w:color w:val="525866"/>
          <w:sz w:val="22"/>
        </w:rPr>
        <w:t>a lot of resiliency around the world</w:t>
      </w:r>
      <w:r>
        <w:rPr>
          <w:rFonts w:ascii="Calibri" w:hAnsi="Calibri"/>
          <w:color w:val="525866"/>
          <w:sz w:val="22"/>
        </w:rPr>
        <w:t>" — commercial cross-border as a percentage of total is "as high as it's ever been."</w:t>
      </w:r>
    </w:p>
    <w:p>
      <w:pPr>
        <w:pStyle w:val="ListBullet"/>
        <w:ind w:left="360" w:hanging="360"/>
      </w:pPr>
      <w:r>
        <w:rPr>
          <w:rFonts w:ascii="Calibri" w:hAnsi="Calibri"/>
          <w:b/>
          <w:color w:val="525866"/>
          <w:sz w:val="22"/>
        </w:rPr>
        <w:t xml:space="preserve">AXP Read-Through: </w:t>
      </w:r>
      <w:r>
        <w:rPr>
          <w:rFonts w:ascii="Calibri" w:hAnsi="Calibri"/>
          <w:color w:val="525866"/>
          <w:sz w:val="22"/>
        </w:rPr>
        <w:t>Strongly positive. Broad-based spending resilience through mid-May, with cross-border at record highs, directly supports AXP's billed business trajectory. AXP's premium T&amp;E-heavy customer base is the primary beneficiary of cross-border strength.</w:t>
      </w:r>
    </w:p>
    <w:p>
      <w:pPr>
        <w:pStyle w:val="Heading2"/>
      </w:pPr>
      <w:r>
        <w:rPr>
          <w:rFonts w:ascii="Calibri" w:hAnsi="Calibri"/>
          <w:b/>
          <w:color w:val="3B4259"/>
          <w:sz w:val="28"/>
        </w:rPr>
        <w:t>Mastercard (MA) — Bernstein Strategic Decisions Conference, May 28, 2026</w:t>
      </w:r>
    </w:p>
    <w:p>
      <w:r>
        <w:rPr>
          <w:rFonts w:ascii="Calibri" w:hAnsi="Calibri"/>
          <w:b/>
          <w:color w:val="525866"/>
          <w:sz w:val="22"/>
        </w:rPr>
        <w:t xml:space="preserve">Relevance: </w:t>
      </w:r>
      <w:r>
        <w:rPr>
          <w:rFonts w:ascii="Calibri" w:hAnsi="Calibri"/>
          <w:color w:val="525866"/>
          <w:sz w:val="22"/>
        </w:rPr>
        <w:t>Mastercard CEO Michael Miebach provided Q2 spending commentary through late May 2026.</w:t>
      </w:r>
    </w:p>
    <w:p>
      <w:pPr>
        <w:pStyle w:val="ListBullet"/>
        <w:ind w:left="360" w:hanging="360"/>
      </w:pPr>
      <w:r>
        <w:rPr>
          <w:rFonts w:ascii="Calibri" w:hAnsi="Calibri"/>
          <w:color w:val="525866"/>
          <w:sz w:val="22"/>
        </w:rPr>
        <w:t xml:space="preserve">"Growth in consumer spending has continued into May, the first 2 weeks as well, where we saw </w:t>
      </w:r>
      <w:r>
        <w:rPr>
          <w:rFonts w:ascii="Calibri" w:hAnsi="Calibri"/>
          <w:b/>
          <w:color w:val="525866"/>
          <w:sz w:val="22"/>
        </w:rPr>
        <w:t>stable to slightly better consumer spending</w:t>
      </w:r>
      <w:r>
        <w:rPr>
          <w:rFonts w:ascii="Calibri" w:hAnsi="Calibri"/>
          <w:color w:val="525866"/>
          <w:sz w:val="22"/>
        </w:rPr>
        <w:t>."</w:t>
      </w:r>
    </w:p>
    <w:p>
      <w:pPr>
        <w:pStyle w:val="ListBullet"/>
        <w:ind w:left="360" w:hanging="360"/>
      </w:pPr>
      <w:r>
        <w:rPr>
          <w:rFonts w:ascii="Calibri" w:hAnsi="Calibri"/>
          <w:color w:val="525866"/>
          <w:sz w:val="22"/>
        </w:rPr>
        <w:t xml:space="preserve">"Unemployment has been relatively low" and "wage growth has kept up with inflation in a relatively good balance so that net-net </w:t>
      </w:r>
      <w:r>
        <w:rPr>
          <w:rFonts w:ascii="Calibri" w:hAnsi="Calibri"/>
          <w:b/>
          <w:color w:val="525866"/>
          <w:sz w:val="22"/>
        </w:rPr>
        <w:t>spending capacity is intact</w:t>
      </w:r>
      <w:r>
        <w:rPr>
          <w:rFonts w:ascii="Calibri" w:hAnsi="Calibri"/>
          <w:color w:val="525866"/>
          <w:sz w:val="22"/>
        </w:rPr>
        <w:t>." Equity markets "doing fine" — wealth effect still present.</w:t>
      </w:r>
    </w:p>
    <w:p>
      <w:pPr>
        <w:pStyle w:val="ListBullet"/>
        <w:ind w:left="360" w:hanging="360"/>
      </w:pPr>
      <w:r>
        <w:rPr>
          <w:rFonts w:ascii="Calibri" w:hAnsi="Calibri"/>
          <w:color w:val="525866"/>
          <w:sz w:val="22"/>
        </w:rPr>
        <w:t>Consumers adjusting between discretionary and non-discretionary due to energy prices, but "as long as it's on cards, that's great for us."</w:t>
      </w:r>
    </w:p>
    <w:p>
      <w:pPr>
        <w:pStyle w:val="ListBullet"/>
        <w:ind w:left="360" w:hanging="360"/>
      </w:pPr>
      <w:r>
        <w:rPr>
          <w:rFonts w:ascii="Calibri" w:hAnsi="Calibri"/>
          <w:color w:val="525866"/>
          <w:sz w:val="22"/>
        </w:rPr>
        <w:t>Commercial payments: "tremendous opportunity" in $80T addressable market; Mastercard "outpacing the market" in commercial growth.</w:t>
      </w:r>
    </w:p>
    <w:p>
      <w:pPr>
        <w:pStyle w:val="ListBullet"/>
        <w:ind w:left="360" w:hanging="360"/>
      </w:pPr>
      <w:r>
        <w:rPr>
          <w:rFonts w:ascii="Calibri" w:hAnsi="Calibri"/>
          <w:b/>
          <w:color w:val="525866"/>
          <w:sz w:val="22"/>
        </w:rPr>
        <w:t xml:space="preserve">AXP Read-Through: </w:t>
      </w:r>
      <w:r>
        <w:rPr>
          <w:rFonts w:ascii="Calibri" w:hAnsi="Calibri"/>
          <w:color w:val="525866"/>
          <w:sz w:val="22"/>
        </w:rPr>
        <w:t>Positive. Intact spending capacity, low unemployment, and wealth effect all support AXP's premium consumer base. Commercial momentum is a tailwind for AXP's GCS segment.</w:t>
      </w:r>
    </w:p>
    <w:p>
      <w:pPr>
        <w:pStyle w:val="Heading2"/>
      </w:pPr>
      <w:r>
        <w:rPr>
          <w:rFonts w:ascii="Calibri" w:hAnsi="Calibri"/>
          <w:b/>
          <w:color w:val="3B4259"/>
          <w:sz w:val="28"/>
        </w:rPr>
        <w:t>Mastercard (MA) — RBC Capital Markets FinTech Conference, June 9, 2026</w:t>
      </w:r>
    </w:p>
    <w:p>
      <w:r>
        <w:rPr>
          <w:rFonts w:ascii="Calibri" w:hAnsi="Calibri"/>
          <w:b/>
          <w:color w:val="525866"/>
          <w:sz w:val="22"/>
        </w:rPr>
        <w:t xml:space="preserve">Relevance: </w:t>
      </w:r>
      <w:r>
        <w:rPr>
          <w:rFonts w:ascii="Calibri" w:hAnsi="Calibri"/>
          <w:color w:val="525866"/>
          <w:sz w:val="22"/>
        </w:rPr>
        <w:t>Mastercard's Chief Product Officer Jorn Lambert provided commentary on the payments landscape in early June 2026.</w:t>
      </w:r>
    </w:p>
    <w:p>
      <w:pPr>
        <w:pStyle w:val="ListBullet"/>
        <w:ind w:left="360" w:hanging="360"/>
      </w:pPr>
      <w:r>
        <w:rPr>
          <w:rFonts w:ascii="Calibri" w:hAnsi="Calibri"/>
          <w:color w:val="525866"/>
          <w:sz w:val="22"/>
        </w:rPr>
        <w:t>Secular growth from "cash and check displacement" and "digitization" has a "long runway" — Mastercard "very bullish" on secular growth.</w:t>
      </w:r>
    </w:p>
    <w:p>
      <w:pPr>
        <w:pStyle w:val="ListBullet"/>
        <w:ind w:left="360" w:hanging="360"/>
      </w:pPr>
      <w:r>
        <w:rPr>
          <w:rFonts w:ascii="Calibri" w:hAnsi="Calibri"/>
          <w:color w:val="525866"/>
          <w:sz w:val="22"/>
        </w:rPr>
        <w:t>Agentic commerce: "a major trend for the next decade" — new transaction types (agent-to-agent, machine-to-machine) represent a "brand-new addressable market" with "higher quality transactions and higher approval rates."</w:t>
      </w:r>
    </w:p>
    <w:p>
      <w:pPr>
        <w:pStyle w:val="ListBullet"/>
        <w:ind w:left="360" w:hanging="360"/>
      </w:pPr>
      <w:r>
        <w:rPr>
          <w:rFonts w:ascii="Calibri" w:hAnsi="Calibri"/>
          <w:color w:val="525866"/>
          <w:sz w:val="22"/>
        </w:rPr>
        <w:t>Geopolitical impacts "quite dulled" due to geographic diversification — macro headwinds not materially affecting network volumes.</w:t>
      </w:r>
    </w:p>
    <w:p>
      <w:pPr>
        <w:pStyle w:val="ListBullet"/>
        <w:ind w:left="360" w:hanging="360"/>
      </w:pPr>
      <w:r>
        <w:rPr>
          <w:rFonts w:ascii="Calibri" w:hAnsi="Calibri"/>
          <w:b/>
          <w:color w:val="525866"/>
          <w:sz w:val="22"/>
        </w:rPr>
        <w:t xml:space="preserve">AXP Read-Through: </w:t>
      </w:r>
      <w:r>
        <w:rPr>
          <w:rFonts w:ascii="Calibri" w:hAnsi="Calibri"/>
          <w:color w:val="525866"/>
          <w:sz w:val="22"/>
        </w:rPr>
        <w:t>Positive. The secular digitization tailwind and agentic commerce opportunity directly support AXP's closed-loop network strategy. AXP management has explicitly positioned its data advantage as a structural moat in agentic commerce.</w:t>
      </w:r>
    </w:p>
    <w:p>
      <w:pPr>
        <w:pStyle w:val="Heading2"/>
      </w:pPr>
      <w:r>
        <w:rPr>
          <w:rFonts w:ascii="Calibri" w:hAnsi="Calibri"/>
          <w:b/>
          <w:color w:val="3B4259"/>
          <w:sz w:val="28"/>
        </w:rPr>
        <w:t>Visa (V) — Baird Global Consumer, Tech &amp; Services Conference, June 3, 2026</w:t>
      </w:r>
    </w:p>
    <w:p>
      <w:r>
        <w:rPr>
          <w:rFonts w:ascii="Calibri" w:hAnsi="Calibri"/>
          <w:b/>
          <w:color w:val="525866"/>
          <w:sz w:val="22"/>
        </w:rPr>
        <w:t xml:space="preserve">Relevance: </w:t>
      </w:r>
      <w:r>
        <w:rPr>
          <w:rFonts w:ascii="Calibri" w:hAnsi="Calibri"/>
          <w:color w:val="525866"/>
          <w:sz w:val="22"/>
        </w:rPr>
        <w:t>Visa's President of Commercial &amp; Money Movement Solutions provided Q2 commentary on B2B and T&amp;E spending.</w:t>
      </w:r>
    </w:p>
    <w:p>
      <w:pPr>
        <w:pStyle w:val="ListBullet"/>
        <w:ind w:left="360" w:hanging="360"/>
      </w:pPr>
      <w:r>
        <w:rPr>
          <w:rFonts w:ascii="Calibri" w:hAnsi="Calibri"/>
          <w:color w:val="525866"/>
          <w:sz w:val="22"/>
        </w:rPr>
        <w:t>Corporate T&amp;E described as "still like a beautiful business" — Visa competing for and growing that business. B2B travel OTA space showing "very strong growth," with OTA volumes growing "10x in the preceding few years."</w:t>
      </w:r>
    </w:p>
    <w:p>
      <w:pPr>
        <w:pStyle w:val="ListBullet"/>
        <w:ind w:left="360" w:hanging="360"/>
      </w:pPr>
      <w:r>
        <w:rPr>
          <w:rFonts w:ascii="Calibri" w:hAnsi="Calibri"/>
          <w:color w:val="525866"/>
          <w:sz w:val="22"/>
        </w:rPr>
        <w:t>Agentic commerce expected to "accelerate the digitization of commerce" and drive "more transactions" — third-party economists forecast AI driving "80 to 150 basis points" of global GDP growth.</w:t>
      </w:r>
    </w:p>
    <w:p>
      <w:pPr>
        <w:pStyle w:val="ListBullet"/>
        <w:ind w:left="360" w:hanging="360"/>
      </w:pPr>
      <w:r>
        <w:rPr>
          <w:rFonts w:ascii="Calibri" w:hAnsi="Calibri"/>
          <w:b/>
          <w:color w:val="525866"/>
          <w:sz w:val="22"/>
        </w:rPr>
        <w:t xml:space="preserve">AXP Read-Through: </w:t>
      </w:r>
      <w:r>
        <w:rPr>
          <w:rFonts w:ascii="Calibri" w:hAnsi="Calibri"/>
          <w:color w:val="525866"/>
          <w:sz w:val="22"/>
        </w:rPr>
        <w:t>Positive. Strong corporate T&amp;E and B2B travel growth directly benefits AXP's GCS and ICS segments. The GDP growth tailwind from AI/agentic commerce supports AXP's premium spending base.</w:t>
      </w:r>
    </w:p>
    <w:p>
      <w:pPr>
        <w:pStyle w:val="Heading2"/>
      </w:pPr>
      <w:r>
        <w:rPr>
          <w:rFonts w:ascii="Calibri" w:hAnsi="Calibri"/>
          <w:b/>
          <w:color w:val="3B4259"/>
          <w:sz w:val="28"/>
        </w:rPr>
        <w:t>Capital One Financial (COF) — Q2 2026 Earnings Call, July 21, 2026</w:t>
      </w:r>
    </w:p>
    <w:p>
      <w:r>
        <w:rPr>
          <w:rFonts w:ascii="Calibri" w:hAnsi="Calibri"/>
          <w:b/>
          <w:color w:val="525866"/>
          <w:sz w:val="22"/>
        </w:rPr>
        <w:t xml:space="preserve">Relevance: </w:t>
      </w:r>
      <w:r>
        <w:rPr>
          <w:rFonts w:ascii="Calibri" w:hAnsi="Calibri"/>
          <w:color w:val="525866"/>
          <w:sz w:val="22"/>
        </w:rPr>
        <w:t>COF reported Q2 2026 results on July 21 — the same calendar quarter as AXP's upcoming print. This is the most direct and timely read-through available.</w:t>
      </w:r>
    </w:p>
    <w:p>
      <w:pPr>
        <w:pStyle w:val="ListBullet"/>
        <w:ind w:left="360" w:hanging="360"/>
      </w:pPr>
      <w:r>
        <w:rPr>
          <w:rFonts w:ascii="Calibri" w:hAnsi="Calibri"/>
          <w:color w:val="525866"/>
          <w:sz w:val="22"/>
        </w:rPr>
        <w:t xml:space="preserve">Purchase volume for legacy Capital One businesses (including Brex and Corporate Card) grew </w:t>
      </w:r>
      <w:r>
        <w:rPr>
          <w:rFonts w:ascii="Calibri" w:hAnsi="Calibri"/>
          <w:b/>
          <w:color w:val="525866"/>
          <w:sz w:val="22"/>
        </w:rPr>
        <w:t>~14% YoY</w:t>
      </w:r>
      <w:r>
        <w:rPr>
          <w:rFonts w:ascii="Calibri" w:hAnsi="Calibri"/>
          <w:color w:val="525866"/>
          <w:sz w:val="22"/>
        </w:rPr>
        <w:t xml:space="preserve"> in Q2, with "significant majority" from organic growth acceleration.</w:t>
      </w:r>
    </w:p>
    <w:p>
      <w:pPr>
        <w:pStyle w:val="ListBullet"/>
        <w:ind w:left="360" w:hanging="360"/>
      </w:pPr>
      <w:r>
        <w:rPr>
          <w:rFonts w:ascii="Calibri" w:hAnsi="Calibri"/>
          <w:color w:val="525866"/>
          <w:sz w:val="22"/>
        </w:rPr>
        <w:t>Upmarket segment "</w:t>
      </w:r>
      <w:r>
        <w:rPr>
          <w:rFonts w:ascii="Calibri" w:hAnsi="Calibri"/>
          <w:b/>
          <w:color w:val="525866"/>
          <w:sz w:val="22"/>
        </w:rPr>
        <w:t>absolutely humming</w:t>
      </w:r>
      <w:r>
        <w:rPr>
          <w:rFonts w:ascii="Calibri" w:hAnsi="Calibri"/>
          <w:color w:val="525866"/>
          <w:sz w:val="22"/>
        </w:rPr>
        <w:t>" and "right up there at the top of the league tables in key growth metrics" — directly relevant to AXP's premium customer positioning.</w:t>
      </w:r>
    </w:p>
    <w:p>
      <w:pPr>
        <w:pStyle w:val="ListBullet"/>
        <w:ind w:left="360" w:hanging="360"/>
      </w:pPr>
      <w:r>
        <w:rPr>
          <w:rFonts w:ascii="Calibri" w:hAnsi="Calibri"/>
          <w:color w:val="525866"/>
          <w:sz w:val="22"/>
        </w:rPr>
        <w:t xml:space="preserve">Domestic card charge-off rate: </w:t>
      </w:r>
      <w:r>
        <w:rPr>
          <w:rFonts w:ascii="Calibri" w:hAnsi="Calibri"/>
          <w:b/>
          <w:color w:val="525866"/>
          <w:sz w:val="22"/>
        </w:rPr>
        <w:t>4.71%, down 39 bps QoQ and down 54 bps YoY</w:t>
      </w:r>
      <w:r>
        <w:rPr>
          <w:rFonts w:ascii="Calibri" w:hAnsi="Calibri"/>
          <w:color w:val="525866"/>
          <w:sz w:val="22"/>
        </w:rPr>
        <w:t>; delinquency rate 3.39%, down 31 bps QoQ and 21 bps YoY. Allowance released $705M in domestic card.</w:t>
      </w:r>
    </w:p>
    <w:p>
      <w:pPr>
        <w:pStyle w:val="ListBullet"/>
        <w:ind w:left="360" w:hanging="360"/>
      </w:pPr>
      <w:r>
        <w:rPr>
          <w:rFonts w:ascii="Calibri" w:hAnsi="Calibri"/>
          <w:color w:val="525866"/>
          <w:sz w:val="22"/>
        </w:rPr>
        <w:t>"Credit continues to come in very strong" — delinquencies moving "a little bit better than calculated seasonality." June was "a very strong month" and charge-offs were "amazing."</w:t>
      </w:r>
    </w:p>
    <w:p>
      <w:pPr>
        <w:pStyle w:val="ListBullet"/>
        <w:ind w:left="360" w:hanging="360"/>
      </w:pPr>
      <w:r>
        <w:rPr>
          <w:rFonts w:ascii="Calibri" w:hAnsi="Calibri"/>
          <w:color w:val="525866"/>
          <w:sz w:val="22"/>
        </w:rPr>
        <w:t>Consumer spending "remains strong"; bank balances and debt servicing burdens "look a bit stronger than a year ago across income levels."</w:t>
      </w:r>
    </w:p>
    <w:p>
      <w:pPr>
        <w:pStyle w:val="ListBullet"/>
        <w:ind w:left="360" w:hanging="360"/>
      </w:pPr>
      <w:r>
        <w:rPr>
          <w:rFonts w:ascii="Calibri" w:hAnsi="Calibri"/>
          <w:color w:val="525866"/>
          <w:sz w:val="22"/>
        </w:rPr>
        <w:t>U.S. consumer and economy "remained resilient" despite high energy prices; unemployment in June lower than in February; job creation rebounded.</w:t>
      </w:r>
    </w:p>
    <w:p>
      <w:pPr>
        <w:pStyle w:val="ListBullet"/>
        <w:ind w:left="360" w:hanging="360"/>
      </w:pPr>
      <w:r>
        <w:rPr>
          <w:rFonts w:ascii="Calibri" w:hAnsi="Calibri"/>
          <w:b/>
          <w:color w:val="525866"/>
          <w:sz w:val="22"/>
        </w:rPr>
        <w:t xml:space="preserve">AXP Read-Through: </w:t>
      </w:r>
      <w:r>
        <w:rPr>
          <w:rFonts w:ascii="Calibri" w:hAnsi="Calibri"/>
          <w:color w:val="525866"/>
          <w:sz w:val="22"/>
        </w:rPr>
        <w:t>Strongly positive. COF's Q2 data is the most contemporaneous peer read-through available. Improving credit across the board, upmarket spending acceleration, and resilient consumer balance sheets all point to a favorable Q2 environment for AXP — which serves a materially higher-quality customer base than COF and should show even better credit metrics.</w:t>
      </w:r>
    </w:p>
    <w:p>
      <w:pPr>
        <w:pStyle w:val="Heading2"/>
      </w:pPr>
      <w:r>
        <w:rPr>
          <w:rFonts w:ascii="Calibri" w:hAnsi="Calibri"/>
          <w:b/>
          <w:color w:val="3B4259"/>
          <w:sz w:val="28"/>
        </w:rPr>
        <w:t>Synchrony Financial (SYF) — Q2 2026 Earnings Call, July 21, 2026</w:t>
      </w:r>
    </w:p>
    <w:p>
      <w:r>
        <w:rPr>
          <w:rFonts w:ascii="Calibri" w:hAnsi="Calibri"/>
          <w:b/>
          <w:color w:val="525866"/>
          <w:sz w:val="22"/>
        </w:rPr>
        <w:t xml:space="preserve">Relevance: </w:t>
      </w:r>
      <w:r>
        <w:rPr>
          <w:rFonts w:ascii="Calibri" w:hAnsi="Calibri"/>
          <w:color w:val="525866"/>
          <w:sz w:val="22"/>
        </w:rPr>
        <w:t>SYF reported Q2 2026 results on July 21 — same calendar quarter as AXP. SYF serves a more mass-market consumer base, so its data provides a floor-level read on consumer health.</w:t>
      </w:r>
    </w:p>
    <w:p>
      <w:pPr>
        <w:pStyle w:val="ListBullet"/>
        <w:ind w:left="360" w:hanging="360"/>
      </w:pPr>
      <w:r>
        <w:rPr>
          <w:rFonts w:ascii="Calibri" w:hAnsi="Calibri"/>
          <w:color w:val="525866"/>
          <w:sz w:val="22"/>
        </w:rPr>
        <w:t xml:space="preserve">Purchase volume grew </w:t>
      </w:r>
      <w:r>
        <w:rPr>
          <w:rFonts w:ascii="Calibri" w:hAnsi="Calibri"/>
          <w:b/>
          <w:color w:val="525866"/>
          <w:sz w:val="22"/>
        </w:rPr>
        <w:t>8% YoY to an all-time high of ~$50B</w:t>
      </w:r>
      <w:r>
        <w:rPr>
          <w:rFonts w:ascii="Calibri" w:hAnsi="Calibri"/>
          <w:color w:val="525866"/>
          <w:sz w:val="22"/>
        </w:rPr>
        <w:t xml:space="preserve"> in Q2, broad-based across all five sales platforms. June purchase volume spiked to 11% growth.</w:t>
      </w:r>
    </w:p>
    <w:p>
      <w:pPr>
        <w:pStyle w:val="ListBullet"/>
        <w:ind w:left="360" w:hanging="360"/>
      </w:pPr>
      <w:r>
        <w:rPr>
          <w:rFonts w:ascii="Calibri" w:hAnsi="Calibri"/>
          <w:color w:val="525866"/>
          <w:sz w:val="22"/>
        </w:rPr>
        <w:t>Discretionary spend in consumer co-branded products grew "in line with non-discretionary, both up double digits despite elevated fuel prices." Particular strength in entertainment, retail, and electronics.</w:t>
      </w:r>
    </w:p>
    <w:p>
      <w:pPr>
        <w:pStyle w:val="ListBullet"/>
        <w:ind w:left="360" w:hanging="360"/>
      </w:pPr>
      <w:r>
        <w:rPr>
          <w:rFonts w:ascii="Calibri" w:hAnsi="Calibri"/>
          <w:color w:val="525866"/>
          <w:sz w:val="22"/>
        </w:rPr>
        <w:t xml:space="preserve">Net charge-off rate: </w:t>
      </w:r>
      <w:r>
        <w:rPr>
          <w:rFonts w:ascii="Calibri" w:hAnsi="Calibri"/>
          <w:b/>
          <w:color w:val="525866"/>
          <w:sz w:val="22"/>
        </w:rPr>
        <w:t>5.43%, down 27 bps YoY</w:t>
      </w:r>
      <w:r>
        <w:rPr>
          <w:rFonts w:ascii="Calibri" w:hAnsi="Calibri"/>
          <w:color w:val="525866"/>
          <w:sz w:val="22"/>
        </w:rPr>
        <w:t>; 30+ and 90+ delinquency rates "generally in line with prior year." Payment rate of 17% was 70 bps higher than last year.</w:t>
      </w:r>
    </w:p>
    <w:p>
      <w:pPr>
        <w:pStyle w:val="ListBullet"/>
        <w:ind w:left="360" w:hanging="360"/>
      </w:pPr>
      <w:r>
        <w:rPr>
          <w:rFonts w:ascii="Calibri" w:hAnsi="Calibri"/>
          <w:color w:val="525866"/>
          <w:sz w:val="22"/>
        </w:rPr>
        <w:t>"Demand remains strong" — new accounts grew to 5.1M in Q2; average active accounts "inflected to growth."</w:t>
      </w:r>
    </w:p>
    <w:p>
      <w:pPr>
        <w:pStyle w:val="ListBullet"/>
        <w:ind w:left="360" w:hanging="360"/>
      </w:pPr>
      <w:r>
        <w:rPr>
          <w:rFonts w:ascii="Calibri" w:hAnsi="Calibri"/>
          <w:color w:val="525866"/>
          <w:sz w:val="22"/>
        </w:rPr>
        <w:t>Outlook: expects "strong growth in purchase volume in the back half" and net charge-offs "less than 5.5% for the full year."</w:t>
      </w:r>
    </w:p>
    <w:p>
      <w:pPr>
        <w:pStyle w:val="ListBullet"/>
        <w:ind w:left="360" w:hanging="360"/>
      </w:pPr>
      <w:r>
        <w:rPr>
          <w:rFonts w:ascii="Calibri" w:hAnsi="Calibri"/>
          <w:b/>
          <w:color w:val="525866"/>
          <w:sz w:val="22"/>
        </w:rPr>
        <w:t xml:space="preserve">AXP Read-Through: </w:t>
      </w:r>
      <w:r>
        <w:rPr>
          <w:rFonts w:ascii="Calibri" w:hAnsi="Calibri"/>
          <w:color w:val="525866"/>
          <w:sz w:val="22"/>
        </w:rPr>
        <w:t>Positive. Even at the mass-market level, consumer spending is accelerating and credit is improving. For AXP's premium customer base, the read-through is even more favorable — if mass-market consumers are spending at record levels with improving credit, AXP's affluent cardholders are almost certainly in better shape.</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 Date</w:t>
            </w:r>
          </w:p>
        </w:tc>
        <w:tc>
          <w:tcPr>
            <w:tcW w:type="dxa" w:w="2160"/>
            <w:shd w:val="clear" w:color="auto" w:fill="3B4259"/>
          </w:tcPr>
          <w:p>
            <w:r>
              <w:rPr>
                <w:rFonts w:ascii="Calibri" w:hAnsi="Calibri"/>
                <w:b/>
                <w:color w:val="FFFFFF"/>
                <w:sz w:val="22"/>
              </w:rPr>
              <w:t>Key Q2 Data Point</w:t>
            </w:r>
          </w:p>
        </w:tc>
        <w:tc>
          <w:tcPr>
            <w:tcW w:type="dxa" w:w="2160"/>
            <w:shd w:val="clear" w:color="auto" w:fill="3B4259"/>
          </w:tcPr>
          <w:p>
            <w:r>
              <w:rPr>
                <w:rFonts w:ascii="Calibri" w:hAnsi="Calibri"/>
                <w:b/>
                <w:color w:val="FFFFFF"/>
                <w:sz w:val="22"/>
              </w:rPr>
              <w:t>AXP Read-Through</w:t>
            </w:r>
          </w:p>
        </w:tc>
      </w:tr>
      <w:tr>
        <w:tc>
          <w:tcPr>
            <w:tcW w:type="dxa" w:w="2160"/>
          </w:tcPr>
          <w:p>
            <w:r>
              <w:rPr>
                <w:rFonts w:ascii="Calibri" w:hAnsi="Calibri"/>
                <w:sz w:val="22"/>
              </w:rPr>
              <w:t>Visa (V)</w:t>
            </w:r>
          </w:p>
        </w:tc>
        <w:tc>
          <w:tcPr>
            <w:tcW w:type="dxa" w:w="2160"/>
          </w:tcPr>
          <w:p>
            <w:r>
              <w:rPr>
                <w:rFonts w:ascii="Calibri" w:hAnsi="Calibri"/>
                <w:sz w:val="22"/>
              </w:rPr>
              <w:t>Bernstein Conf., May 28</w:t>
            </w:r>
          </w:p>
        </w:tc>
        <w:tc>
          <w:tcPr>
            <w:tcW w:type="dxa" w:w="2160"/>
          </w:tcPr>
          <w:p>
            <w:r>
              <w:rPr>
                <w:rFonts w:ascii="Calibri" w:hAnsi="Calibri"/>
                <w:sz w:val="22"/>
              </w:rPr>
              <w:t>Slight improvement in U.S. domestic + cross-border through May 14; resilience across all spending bands</w:t>
            </w:r>
          </w:p>
        </w:tc>
        <w:tc>
          <w:tcPr>
            <w:tcW w:type="dxa" w:w="2160"/>
          </w:tcPr>
          <w:p>
            <w:r>
              <w:rPr>
                <w:rFonts w:ascii="Calibri" w:hAnsi="Calibri"/>
                <w:b/>
                <w:color w:val="30A46C"/>
                <w:sz w:val="22"/>
              </w:rPr>
              <w:t>Positive</w:t>
            </w:r>
          </w:p>
        </w:tc>
      </w:tr>
      <w:tr>
        <w:tc>
          <w:tcPr>
            <w:tcW w:type="dxa" w:w="2160"/>
          </w:tcPr>
          <w:p>
            <w:r>
              <w:rPr>
                <w:rFonts w:ascii="Calibri" w:hAnsi="Calibri"/>
                <w:sz w:val="22"/>
              </w:rPr>
              <w:t>Mastercard (MA)</w:t>
            </w:r>
          </w:p>
        </w:tc>
        <w:tc>
          <w:tcPr>
            <w:tcW w:type="dxa" w:w="2160"/>
          </w:tcPr>
          <w:p>
            <w:r>
              <w:rPr>
                <w:rFonts w:ascii="Calibri" w:hAnsi="Calibri"/>
                <w:sz w:val="22"/>
              </w:rPr>
              <w:t>Bernstein Conf., May 28</w:t>
            </w:r>
          </w:p>
        </w:tc>
        <w:tc>
          <w:tcPr>
            <w:tcW w:type="dxa" w:w="2160"/>
          </w:tcPr>
          <w:p>
            <w:r>
              <w:rPr>
                <w:rFonts w:ascii="Calibri" w:hAnsi="Calibri"/>
                <w:sz w:val="22"/>
              </w:rPr>
              <w:t>Stable-to-better consumer spending into May; spending capacity intact; commercial outpacing market</w:t>
            </w:r>
          </w:p>
        </w:tc>
        <w:tc>
          <w:tcPr>
            <w:tcW w:type="dxa" w:w="2160"/>
          </w:tcPr>
          <w:p>
            <w:r>
              <w:rPr>
                <w:rFonts w:ascii="Calibri" w:hAnsi="Calibri"/>
                <w:b/>
                <w:color w:val="30A46C"/>
                <w:sz w:val="22"/>
              </w:rPr>
              <w:t>Positive</w:t>
            </w:r>
          </w:p>
        </w:tc>
      </w:tr>
      <w:tr>
        <w:tc>
          <w:tcPr>
            <w:tcW w:type="dxa" w:w="2160"/>
          </w:tcPr>
          <w:p>
            <w:r>
              <w:rPr>
                <w:rFonts w:ascii="Calibri" w:hAnsi="Calibri"/>
                <w:sz w:val="22"/>
              </w:rPr>
              <w:t>Visa (V)</w:t>
            </w:r>
          </w:p>
        </w:tc>
        <w:tc>
          <w:tcPr>
            <w:tcW w:type="dxa" w:w="2160"/>
          </w:tcPr>
          <w:p>
            <w:r>
              <w:rPr>
                <w:rFonts w:ascii="Calibri" w:hAnsi="Calibri"/>
                <w:sz w:val="22"/>
              </w:rPr>
              <w:t>Baird Conf., Jun 3</w:t>
            </w:r>
          </w:p>
        </w:tc>
        <w:tc>
          <w:tcPr>
            <w:tcW w:type="dxa" w:w="2160"/>
          </w:tcPr>
          <w:p>
            <w:r>
              <w:rPr>
                <w:rFonts w:ascii="Calibri" w:hAnsi="Calibri"/>
                <w:sz w:val="22"/>
              </w:rPr>
              <w:t>Corporate T&amp;E "beautiful business"; B2B travel OTA volumes up 10x in recent years; agentic tailwind</w:t>
            </w:r>
          </w:p>
        </w:tc>
        <w:tc>
          <w:tcPr>
            <w:tcW w:type="dxa" w:w="2160"/>
          </w:tcPr>
          <w:p>
            <w:r>
              <w:rPr>
                <w:rFonts w:ascii="Calibri" w:hAnsi="Calibri"/>
                <w:b/>
                <w:color w:val="30A46C"/>
                <w:sz w:val="22"/>
              </w:rPr>
              <w:t>Positive</w:t>
            </w:r>
          </w:p>
        </w:tc>
      </w:tr>
      <w:tr>
        <w:tc>
          <w:tcPr>
            <w:tcW w:type="dxa" w:w="2160"/>
          </w:tcPr>
          <w:p>
            <w:r>
              <w:rPr>
                <w:rFonts w:ascii="Calibri" w:hAnsi="Calibri"/>
                <w:sz w:val="22"/>
              </w:rPr>
              <w:t>Mastercard (MA)</w:t>
            </w:r>
          </w:p>
        </w:tc>
        <w:tc>
          <w:tcPr>
            <w:tcW w:type="dxa" w:w="2160"/>
          </w:tcPr>
          <w:p>
            <w:r>
              <w:rPr>
                <w:rFonts w:ascii="Calibri" w:hAnsi="Calibri"/>
                <w:sz w:val="22"/>
              </w:rPr>
              <w:t>RBC FinTech Conf., Jun 9</w:t>
            </w:r>
          </w:p>
        </w:tc>
        <w:tc>
          <w:tcPr>
            <w:tcW w:type="dxa" w:w="2160"/>
          </w:tcPr>
          <w:p>
            <w:r>
              <w:rPr>
                <w:rFonts w:ascii="Calibri" w:hAnsi="Calibri"/>
                <w:sz w:val="22"/>
              </w:rPr>
              <w:t>Secular digitization "long runway"; geopolitical impacts "dulled"; agentic commerce new TAM</w:t>
            </w:r>
          </w:p>
        </w:tc>
        <w:tc>
          <w:tcPr>
            <w:tcW w:type="dxa" w:w="2160"/>
          </w:tcPr>
          <w:p>
            <w:r>
              <w:rPr>
                <w:rFonts w:ascii="Calibri" w:hAnsi="Calibri"/>
                <w:b/>
                <w:color w:val="30A46C"/>
                <w:sz w:val="22"/>
              </w:rPr>
              <w:t>Positive</w:t>
            </w:r>
          </w:p>
        </w:tc>
      </w:tr>
      <w:tr>
        <w:tc>
          <w:tcPr>
            <w:tcW w:type="dxa" w:w="2160"/>
          </w:tcPr>
          <w:p>
            <w:r>
              <w:rPr>
                <w:rFonts w:ascii="Calibri" w:hAnsi="Calibri"/>
                <w:sz w:val="22"/>
              </w:rPr>
              <w:t>Capital One (COF)</w:t>
            </w:r>
          </w:p>
        </w:tc>
        <w:tc>
          <w:tcPr>
            <w:tcW w:type="dxa" w:w="2160"/>
          </w:tcPr>
          <w:p>
            <w:r>
              <w:rPr>
                <w:rFonts w:ascii="Calibri" w:hAnsi="Calibri"/>
                <w:sz w:val="22"/>
              </w:rPr>
              <w:t>Q2 2026 Earnings, Jul 21</w:t>
            </w:r>
          </w:p>
        </w:tc>
        <w:tc>
          <w:tcPr>
            <w:tcW w:type="dxa" w:w="2160"/>
          </w:tcPr>
          <w:p>
            <w:r>
              <w:rPr>
                <w:rFonts w:ascii="Calibri" w:hAnsi="Calibri"/>
                <w:sz w:val="22"/>
              </w:rPr>
              <w:t>Upmarket spending "humming"; charge-offs -54 bps YoY; delinquency -21 bps YoY; consumer "resilient"</w:t>
            </w:r>
          </w:p>
        </w:tc>
        <w:tc>
          <w:tcPr>
            <w:tcW w:type="dxa" w:w="2160"/>
          </w:tcPr>
          <w:p>
            <w:r>
              <w:rPr>
                <w:rFonts w:ascii="Calibri" w:hAnsi="Calibri"/>
                <w:b/>
                <w:color w:val="30A46C"/>
                <w:sz w:val="22"/>
              </w:rPr>
              <w:t>Strongly Positive</w:t>
            </w:r>
          </w:p>
        </w:tc>
      </w:tr>
      <w:tr>
        <w:tc>
          <w:tcPr>
            <w:tcW w:type="dxa" w:w="2160"/>
          </w:tcPr>
          <w:p>
            <w:r>
              <w:rPr>
                <w:rFonts w:ascii="Calibri" w:hAnsi="Calibri"/>
                <w:sz w:val="22"/>
              </w:rPr>
              <w:t>Synchrony (SYF)</w:t>
            </w:r>
          </w:p>
        </w:tc>
        <w:tc>
          <w:tcPr>
            <w:tcW w:type="dxa" w:w="2160"/>
          </w:tcPr>
          <w:p>
            <w:r>
              <w:rPr>
                <w:rFonts w:ascii="Calibri" w:hAnsi="Calibri"/>
                <w:sz w:val="22"/>
              </w:rPr>
              <w:t>Q2 2026 Earnings, Jul 21</w:t>
            </w:r>
          </w:p>
        </w:tc>
        <w:tc>
          <w:tcPr>
            <w:tcW w:type="dxa" w:w="2160"/>
          </w:tcPr>
          <w:p>
            <w:r>
              <w:rPr>
                <w:rFonts w:ascii="Calibri" w:hAnsi="Calibri"/>
                <w:sz w:val="22"/>
              </w:rPr>
              <w:t>Purchase volume all-time high +8% YoY; June +11%; charge-offs -27 bps YoY; demand "strong"</w:t>
            </w:r>
          </w:p>
        </w:tc>
        <w:tc>
          <w:tcPr>
            <w:tcW w:type="dxa" w:w="2160"/>
          </w:tcPr>
          <w:p>
            <w:r>
              <w:rPr>
                <w:rFonts w:ascii="Calibri" w:hAnsi="Calibri"/>
                <w:b/>
                <w:color w:val="30A46C"/>
                <w:sz w:val="22"/>
              </w:rPr>
              <w:t>Positive</w:t>
            </w:r>
          </w:p>
        </w:tc>
      </w:tr>
    </w:tbl>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GBT stake sale announcement (May 4)</w:t>
      </w:r>
      <w:r>
        <w:rPr>
          <w:rFonts w:ascii="Calibri" w:hAnsi="Calibri"/>
          <w:color w:val="525866"/>
          <w:sz w:val="22"/>
        </w:rPr>
        <w:t xml:space="preserve"> — a ~$975M pre-tax gain excluded from guidance that creates a significant one-time earnings event in Q2 and sets up a capital redeployment decision that will dominate the earnings call narrative.</w:t>
      </w:r>
    </w:p>
    <w:p>
      <w:pPr>
        <w:pStyle w:val="ListBullet"/>
        <w:ind w:left="360" w:hanging="360"/>
      </w:pPr>
      <w:r>
        <w:rPr>
          <w:rFonts w:ascii="Calibri" w:hAnsi="Calibri"/>
          <w:b/>
          <w:color w:val="525866"/>
          <w:sz w:val="22"/>
        </w:rPr>
        <w:t>May 4, 2026 — GBT Stake Sale Announced (8-K):</w:t>
      </w:r>
      <w:r>
        <w:rPr>
          <w:rFonts w:ascii="Calibri" w:hAnsi="Calibri"/>
          <w:color w:val="525866"/>
          <w:sz w:val="22"/>
        </w:rPr>
        <w:t xml:space="preserve"> AXP announced the sale of its ~30% equity stake in Global Business Travel Group (GBTG) as part of a take-private by Long Lake and General Catalyst. Expected proceeds: ~$1.5B; pre-tax gain: ~$975M. Gain is </w:t>
      </w:r>
      <w:r>
        <w:rPr>
          <w:rFonts w:ascii="Calibri" w:hAnsi="Calibri"/>
          <w:b/>
          <w:color w:val="525866"/>
          <w:sz w:val="22"/>
        </w:rPr>
        <w:t>explicitly excluded from FY 2026 EPS guidance</w:t>
      </w:r>
      <w:r>
        <w:rPr>
          <w:rFonts w:ascii="Calibri" w:hAnsi="Calibri"/>
          <w:color w:val="525866"/>
          <w:sz w:val="22"/>
        </w:rPr>
        <w:t>. Management signaled intent to reinvest the majority into incremental technology and card acquisition, with a portion returned to shareholders. This is the single largest financial event since Q1 earnings and will be a major focus of the Q2 call. Note: this is the corporate business travel entity spun off ~10 years ago — entirely distinct from AXP's consumer travel business (100% owned, no divestiture planned).</w:t>
      </w:r>
    </w:p>
    <w:p>
      <w:pPr>
        <w:pStyle w:val="ListBullet"/>
        <w:ind w:left="360" w:hanging="360"/>
      </w:pPr>
      <w:r>
        <w:rPr>
          <w:rFonts w:ascii="Calibri" w:hAnsi="Calibri"/>
          <w:b/>
          <w:color w:val="525866"/>
          <w:sz w:val="22"/>
        </w:rPr>
        <w:t>May 28, 2026 — Bernstein Conference (CFO Commentary):</w:t>
      </w:r>
      <w:r>
        <w:rPr>
          <w:rFonts w:ascii="Calibri" w:hAnsi="Calibri"/>
          <w:color w:val="525866"/>
          <w:sz w:val="22"/>
        </w:rPr>
        <w:t xml:space="preserve"> CFO confirmed Q2 QTD billed business running "slightly ahead" of Q1's 10% pace; airline spending recovered to 9% growth in April after late-March softness; credit metrics stable with delinquency at 1.3% for 9 of last 10 quarters. Also disclosed: </w:t>
      </w:r>
      <w:r>
        <w:rPr>
          <w:rFonts w:ascii="Calibri" w:hAnsi="Calibri"/>
          <w:b/>
          <w:color w:val="525866"/>
          <w:sz w:val="22"/>
        </w:rPr>
        <w:t>partner-funded value now exceeds $3.5B annually</w:t>
      </w:r>
      <w:r>
        <w:rPr>
          <w:rFonts w:ascii="Calibri" w:hAnsi="Calibri"/>
          <w:color w:val="525866"/>
          <w:sz w:val="22"/>
        </w:rPr>
        <w:t>; Platinum refresh drove a "6% lift in Platinum spending growth above what was expected" from existing cardholders; 70% of global new card acquisitions are Millennials/Gen Z on premium products.</w:t>
      </w:r>
    </w:p>
    <w:p>
      <w:pPr>
        <w:pStyle w:val="ListBullet"/>
        <w:ind w:left="360" w:hanging="360"/>
      </w:pPr>
      <w:r>
        <w:rPr>
          <w:rFonts w:ascii="Calibri" w:hAnsi="Calibri"/>
          <w:b/>
          <w:color w:val="525866"/>
          <w:sz w:val="22"/>
        </w:rPr>
        <w:t>May 28, 2026 — J.D. Power Award:</w:t>
      </w:r>
      <w:r>
        <w:rPr>
          <w:rFonts w:ascii="Calibri" w:hAnsi="Calibri"/>
          <w:color w:val="525866"/>
          <w:sz w:val="22"/>
        </w:rPr>
        <w:t xml:space="preserve"> AXP won the J.D. Power award for best mobile app in the card industry for the second consecutive year — reinforcing the technology-led customer experience strategy.</w:t>
      </w:r>
    </w:p>
    <w:p>
      <w:pPr>
        <w:pStyle w:val="ListBullet"/>
        <w:ind w:left="360" w:hanging="360"/>
      </w:pPr>
      <w:r>
        <w:rPr>
          <w:rFonts w:ascii="Calibri" w:hAnsi="Calibri"/>
          <w:b/>
          <w:color w:val="525866"/>
          <w:sz w:val="22"/>
        </w:rPr>
        <w:t>Jun 9, 2026 — Morgan Stanley U.S. Financials Conference (CFO Commentary):</w:t>
      </w:r>
      <w:r>
        <w:rPr>
          <w:rFonts w:ascii="Calibri" w:hAnsi="Calibri"/>
          <w:color w:val="525866"/>
          <w:sz w:val="22"/>
        </w:rPr>
        <w:t xml:space="preserve"> Reiterated Q2 tracking ahead of Q1; "strength across the portfolio"; demand for new cards "very strong and tracking very well to plans"; credit "no inflection point." Confirmed </w:t>
      </w:r>
      <w:r>
        <w:rPr>
          <w:rFonts w:ascii="Calibri" w:hAnsi="Calibri"/>
          <w:b/>
          <w:color w:val="525866"/>
          <w:sz w:val="22"/>
        </w:rPr>
        <w:t>airline spending "doing really well"</w:t>
      </w:r>
      <w:r>
        <w:rPr>
          <w:rFonts w:ascii="Calibri" w:hAnsi="Calibri"/>
          <w:color w:val="525866"/>
          <w:sz w:val="22"/>
        </w:rPr>
        <w:t xml:space="preserve"> and T&amp;E in general strong; luxury spend globally up ~18% last quarter. Noted modest inflation is "slightly accretive" to AXP as revenue lines travel with inflation while many expense lines lag.</w:t>
      </w:r>
    </w:p>
    <w:p>
      <w:pPr>
        <w:pStyle w:val="ListBullet"/>
        <w:ind w:left="360" w:hanging="360"/>
      </w:pPr>
      <w:r>
        <w:rPr>
          <w:rFonts w:ascii="Calibri" w:hAnsi="Calibri"/>
          <w:b/>
          <w:color w:val="525866"/>
          <w:sz w:val="22"/>
        </w:rPr>
        <w:t>Jun 15, 2026 — May Credit Statistics (8-K):</w:t>
      </w:r>
      <w:r>
        <w:rPr>
          <w:rFonts w:ascii="Calibri" w:hAnsi="Calibri"/>
          <w:color w:val="525866"/>
          <w:sz w:val="22"/>
        </w:rPr>
        <w:t xml:space="preserve"> U.S. Consumer 30-day delinquency: 1.1% (May); net write-off rate: 2.0% (May). U.S. Small Business delinquency: 1.4% (May); write-off rate: 2.6% (May). Total card balances held for investment: $160.5B (May). Metrics consistent with stable-credit guidance.</w:t>
      </w:r>
    </w:p>
    <w:p>
      <w:pPr>
        <w:pStyle w:val="ListBullet"/>
        <w:ind w:left="360" w:hanging="360"/>
      </w:pPr>
      <w:r>
        <w:rPr>
          <w:rFonts w:ascii="Calibri" w:hAnsi="Calibri"/>
          <w:b/>
          <w:color w:val="525866"/>
          <w:sz w:val="22"/>
        </w:rPr>
        <w:t>Jun 17, 2026 — €750M Debt Issuance (8-K):</w:t>
      </w:r>
      <w:r>
        <w:rPr>
          <w:rFonts w:ascii="Calibri" w:hAnsi="Calibri"/>
          <w:color w:val="525866"/>
          <w:sz w:val="22"/>
        </w:rPr>
        <w:t xml:space="preserve"> AXP issued €750M in new notes — routine funding activity; no material guidance implications.</w:t>
      </w:r>
    </w:p>
    <w:p>
      <w:pPr>
        <w:pStyle w:val="ListBullet"/>
        <w:ind w:left="360" w:hanging="360"/>
      </w:pPr>
      <w:r>
        <w:rPr>
          <w:rFonts w:ascii="Calibri" w:hAnsi="Calibri"/>
          <w:b/>
          <w:color w:val="525866"/>
          <w:sz w:val="22"/>
        </w:rPr>
        <w:t>Jul 15, 2026 — June Credit Statistics (8-K):</w:t>
      </w:r>
      <w:r>
        <w:rPr>
          <w:rFonts w:ascii="Calibri" w:hAnsi="Calibri"/>
          <w:color w:val="525866"/>
          <w:sz w:val="22"/>
        </w:rPr>
        <w:t xml:space="preserve"> U.S. Consumer Q2 net write-off rate (3-month avg): </w:t>
      </w:r>
      <w:r>
        <w:rPr>
          <w:rFonts w:ascii="Calibri" w:hAnsi="Calibri"/>
          <w:b/>
          <w:color w:val="525866"/>
          <w:sz w:val="22"/>
        </w:rPr>
        <w:t>1.8%</w:t>
      </w:r>
      <w:r>
        <w:rPr>
          <w:rFonts w:ascii="Calibri" w:hAnsi="Calibri"/>
          <w:color w:val="525866"/>
          <w:sz w:val="22"/>
        </w:rPr>
        <w:t xml:space="preserve"> (aided by ~0.3% reduction from sale of previously written-off balances); 30-day delinquency: 1.1%. U.S. Small Business Q2 write-off rate: 2.4%; delinquency: 1.4%. Total card balances: $159.7B. These are the last data points before the print and confirm credit remains best-in-class.</w:t>
      </w:r>
    </w:p>
    <w:p>
      <w:pPr>
        <w:pStyle w:val="ListBullet"/>
        <w:ind w:left="360" w:hanging="360"/>
      </w:pPr>
      <w:r>
        <w:rPr>
          <w:rFonts w:ascii="Calibri" w:hAnsi="Calibri"/>
          <w:b/>
          <w:color w:val="525866"/>
          <w:sz w:val="22"/>
        </w:rPr>
        <w:t>Q1 2026 Earnings Call (Apr 23) — Commercial Product Roadmap:</w:t>
      </w:r>
      <w:r>
        <w:rPr>
          <w:rFonts w:ascii="Calibri" w:hAnsi="Calibri"/>
          <w:color w:val="525866"/>
          <w:sz w:val="22"/>
        </w:rPr>
        <w:t xml:space="preserve"> Management announced the most significant one-year commercial product expansion in company history — 8 new or enhanced products, benefits, and capabilities planned for 2026, including a </w:t>
      </w:r>
      <w:r>
        <w:rPr>
          <w:rFonts w:ascii="Calibri" w:hAnsi="Calibri"/>
          <w:b/>
          <w:color w:val="525866"/>
          <w:sz w:val="22"/>
        </w:rPr>
        <w:t>Corporate Cash Back Card (launching September 2026)</w:t>
      </w:r>
      <w:r>
        <w:rPr>
          <w:rFonts w:ascii="Calibri" w:hAnsi="Calibri"/>
          <w:color w:val="525866"/>
          <w:sz w:val="22"/>
        </w:rPr>
        <w:t xml:space="preserve"> and Center expense management software. HyperCard acquired to bolster AI-powered expense management. Impact on 2026 results expected to be modest; tailwind into 2027.</w:t>
      </w:r>
    </w:p>
    <w:p>
      <w:pPr>
        <w:pStyle w:val="ListBullet"/>
        <w:ind w:left="360" w:hanging="360"/>
      </w:pPr>
      <w:r>
        <w:rPr>
          <w:rFonts w:ascii="Calibri" w:hAnsi="Calibri"/>
          <w:b/>
          <w:color w:val="525866"/>
          <w:sz w:val="22"/>
        </w:rPr>
        <w:t>Q1 2026 Earnings Call (Apr 23) — NFL Partnership:</w:t>
      </w:r>
      <w:r>
        <w:rPr>
          <w:rFonts w:ascii="Calibri" w:hAnsi="Calibri"/>
          <w:color w:val="525866"/>
          <w:sz w:val="22"/>
        </w:rPr>
        <w:t xml:space="preserve"> Multi-year global partnership with the NFL announced in March 2026, making AXP the league's Official Payments Partner beginning with the 2026 season. Also renewed NBA sponsorship and added MetLife Stadium and Mercedes-Benz Stadium agreements. Enhances brand visibility and premium positioning.</w:t>
      </w:r>
    </w:p>
    <w:p>
      <w:pPr>
        <w:pStyle w:val="ListBullet"/>
        <w:ind w:left="360" w:hanging="360"/>
      </w:pPr>
      <w:r>
        <w:rPr>
          <w:rFonts w:ascii="Calibri" w:hAnsi="Calibri"/>
          <w:b/>
          <w:color w:val="525866"/>
          <w:sz w:val="22"/>
        </w:rPr>
        <w:t>Q1 2026 Earnings Call (Apr 23) — Agentic Commerce:</w:t>
      </w:r>
      <w:r>
        <w:rPr>
          <w:rFonts w:ascii="Calibri" w:hAnsi="Calibri"/>
          <w:color w:val="525866"/>
          <w:sz w:val="22"/>
        </w:rPr>
        <w:t xml:space="preserve"> AXP launched the Amex Agentic Commerce Experiences (ACE) Developer Kit and introduced Amex Agent Purchase Protection — an industry-first commitment to back cardholders on registered agent purchases. Partnership with Anthropic to embed Resy within Claude. Management views closed-loop data advantage as a structural moat in agentic commerce, with fraud rate running at ~1/3 of open-loop network levels.</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Q1 earnings. The only Form 4 activity consists of routine director compensation awards (Share Equivalent Units) and one executive sale (McNeal, June 15) that appears to be a discretionary open-market sale — the sole notable transaction, though the size (~7,033 shares) is not unusually large relative to her holdings. </w:t>
      </w:r>
      <w:r>
        <w:rPr>
          <w:rFonts w:ascii="Calibri" w:hAnsi="Calibri"/>
          <w:b/>
          <w:color w:val="525866"/>
          <w:sz w:val="22"/>
        </w:rPr>
        <w:t>No insider buying signal; no clustered selling pattern.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Units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McNeal, Glenda G</w:t>
            </w:r>
          </w:p>
        </w:tc>
        <w:tc>
          <w:tcPr>
            <w:tcW w:type="dxa" w:w="1440"/>
          </w:tcPr>
          <w:p>
            <w:r>
              <w:rPr>
                <w:rFonts w:ascii="Calibri" w:hAnsi="Calibri"/>
                <w:sz w:val="22"/>
              </w:rPr>
              <w:t>Chief Partner Officer</w:t>
            </w:r>
          </w:p>
        </w:tc>
        <w:tc>
          <w:tcPr>
            <w:tcW w:type="dxa" w:w="1440"/>
          </w:tcPr>
          <w:p>
            <w:r>
              <w:rPr>
                <w:rFonts w:ascii="Calibri" w:hAnsi="Calibri"/>
                <w:sz w:val="22"/>
              </w:rPr>
              <w:t>Open Market Sale (Code S)</w:t>
            </w:r>
          </w:p>
        </w:tc>
        <w:tc>
          <w:tcPr>
            <w:tcW w:type="dxa" w:w="1440"/>
          </w:tcPr>
          <w:p>
            <w:r>
              <w:rPr>
                <w:rFonts w:ascii="Calibri" w:hAnsi="Calibri"/>
                <w:sz w:val="22"/>
              </w:rPr>
              <w:t>7,033 shares</w:t>
            </w:r>
          </w:p>
        </w:tc>
        <w:tc>
          <w:tcPr>
            <w:tcW w:type="dxa" w:w="1440"/>
          </w:tcPr>
          <w:p>
            <w:r>
              <w:rPr>
                <w:rFonts w:ascii="Calibri" w:hAnsi="Calibri"/>
                <w:sz w:val="22"/>
              </w:rPr>
              <w:t>Jun 15, 2026</w:t>
            </w:r>
          </w:p>
        </w:tc>
        <w:tc>
          <w:tcPr>
            <w:tcW w:type="dxa" w:w="1440"/>
          </w:tcPr>
          <w:p>
            <w:r>
              <w:rPr>
                <w:rFonts w:ascii="Calibri" w:hAnsi="Calibri"/>
                <w:sz w:val="22"/>
              </w:rPr>
              <w:t>Discretionary sale; no 10b5-1 plan flagged; ~$9,715 shares remaining post-sale; not unusually large relative to holdings</w:t>
            </w:r>
          </w:p>
        </w:tc>
      </w:tr>
      <w:tr>
        <w:tc>
          <w:tcPr>
            <w:tcW w:type="dxa" w:w="1440"/>
          </w:tcPr>
          <w:p>
            <w:r>
              <w:rPr>
                <w:rFonts w:ascii="Calibri" w:hAnsi="Calibri"/>
                <w:sz w:val="22"/>
              </w:rPr>
              <w:t>Multiple Directors (8 individuals)</w:t>
            </w:r>
          </w:p>
        </w:tc>
        <w:tc>
          <w:tcPr>
            <w:tcW w:type="dxa" w:w="1440"/>
          </w:tcPr>
          <w:p>
            <w:r>
              <w:rPr>
                <w:rFonts w:ascii="Calibri" w:hAnsi="Calibri"/>
                <w:sz w:val="22"/>
              </w:rPr>
              <w:t>Board of Directors</w:t>
            </w:r>
          </w:p>
        </w:tc>
        <w:tc>
          <w:tcPr>
            <w:tcW w:type="dxa" w:w="1440"/>
          </w:tcPr>
          <w:p>
            <w:r>
              <w:rPr>
                <w:rFonts w:ascii="Calibri" w:hAnsi="Calibri"/>
                <w:sz w:val="22"/>
              </w:rPr>
              <w:t>Director Compensation Award (Code A)</w:t>
            </w:r>
          </w:p>
        </w:tc>
        <w:tc>
          <w:tcPr>
            <w:tcW w:type="dxa" w:w="1440"/>
          </w:tcPr>
          <w:p>
            <w:r>
              <w:rPr>
                <w:rFonts w:ascii="Calibri" w:hAnsi="Calibri"/>
                <w:sz w:val="22"/>
              </w:rPr>
              <w:t>54–198 Share Equivalent Units each</w:t>
            </w:r>
          </w:p>
        </w:tc>
        <w:tc>
          <w:tcPr>
            <w:tcW w:type="dxa" w:w="1440"/>
          </w:tcPr>
          <w:p>
            <w:r>
              <w:rPr>
                <w:rFonts w:ascii="Calibri" w:hAnsi="Calibri"/>
                <w:sz w:val="22"/>
              </w:rPr>
              <w:t>Jun 30, 2026</w:t>
            </w:r>
          </w:p>
        </w:tc>
        <w:tc>
          <w:tcPr>
            <w:tcW w:type="dxa" w:w="1440"/>
          </w:tcPr>
          <w:p>
            <w:r>
              <w:rPr>
                <w:rFonts w:ascii="Calibri" w:hAnsi="Calibri"/>
                <w:sz w:val="22"/>
              </w:rPr>
              <w:t>Routine quarterly director compensation in Share Equivalent Units (not open-market purchases); no signal value</w:t>
            </w:r>
          </w:p>
        </w:tc>
      </w:tr>
      <w:tr>
        <w:tc>
          <w:tcPr>
            <w:tcW w:type="dxa" w:w="1440"/>
          </w:tcPr>
          <w:p>
            <w:r>
              <w:rPr>
                <w:rFonts w:ascii="Calibri" w:hAnsi="Calibri"/>
                <w:sz w:val="22"/>
              </w:rPr>
              <w:t>Multiple Directors (11 individuals)</w:t>
            </w:r>
          </w:p>
        </w:tc>
        <w:tc>
          <w:tcPr>
            <w:tcW w:type="dxa" w:w="1440"/>
          </w:tcPr>
          <w:p>
            <w:r>
              <w:rPr>
                <w:rFonts w:ascii="Calibri" w:hAnsi="Calibri"/>
                <w:sz w:val="22"/>
              </w:rPr>
              <w:t>Board of Directors</w:t>
            </w:r>
          </w:p>
        </w:tc>
        <w:tc>
          <w:tcPr>
            <w:tcW w:type="dxa" w:w="1440"/>
          </w:tcPr>
          <w:p>
            <w:r>
              <w:rPr>
                <w:rFonts w:ascii="Calibri" w:hAnsi="Calibri"/>
                <w:sz w:val="22"/>
              </w:rPr>
              <w:t>Director Compensation Award (Code A)</w:t>
            </w:r>
          </w:p>
        </w:tc>
        <w:tc>
          <w:tcPr>
            <w:tcW w:type="dxa" w:w="1440"/>
          </w:tcPr>
          <w:p>
            <w:r>
              <w:rPr>
                <w:rFonts w:ascii="Calibri" w:hAnsi="Calibri"/>
                <w:sz w:val="22"/>
              </w:rPr>
              <w:t>742 Share Equivalent Units each</w:t>
            </w:r>
          </w:p>
        </w:tc>
        <w:tc>
          <w:tcPr>
            <w:tcW w:type="dxa" w:w="1440"/>
          </w:tcPr>
          <w:p>
            <w:r>
              <w:rPr>
                <w:rFonts w:ascii="Calibri" w:hAnsi="Calibri"/>
                <w:sz w:val="22"/>
              </w:rPr>
              <w:t>May 5, 2026</w:t>
            </w:r>
          </w:p>
        </w:tc>
        <w:tc>
          <w:tcPr>
            <w:tcW w:type="dxa" w:w="1440"/>
          </w:tcPr>
          <w:p>
            <w:r>
              <w:rPr>
                <w:rFonts w:ascii="Calibri" w:hAnsi="Calibri"/>
                <w:sz w:val="22"/>
              </w:rPr>
              <w:t>Routine annual director compensation in Share Equivalent Units (post-shareholder meeting); no signal value</w:t>
            </w:r>
          </w:p>
        </w:tc>
      </w:tr>
    </w:tbl>
    <w:p>
      <w:r>
        <w:rPr>
          <w:rFonts w:ascii="Calibri" w:hAnsi="Calibri"/>
          <w:i/>
          <w:color w:val="525866"/>
          <w:sz w:val="22"/>
        </w:rPr>
        <w:t xml:space="preserve">Source: Insider Transaction Data (SEC Form 4 filings). </w:t>
      </w:r>
      <w:r>
        <w:rPr>
          <w:rFonts w:ascii="Calibri" w:hAnsi="Calibri"/>
          <w:i/>
          <w:color w:val="525866"/>
          <w:sz w:val="22"/>
        </w:rPr>
        <w:t>Only open-market buys (Code P) and sells (Code S) plus compensation awards (Code A) are shown. No Form 144 filings or 10b5-1 plan initiations were identified in the period. The McNeal sale (Code S) is the only transaction with potential signal value; all other activity is routine director compensation.</w:t>
      </w:r>
    </w:p>
    <w:p>
      <w:r>
        <w:br w:type="page"/>
      </w:r>
    </w:p>
    <w:p>
      <w:pPr>
        <w:pStyle w:val="Heading1"/>
        <w:pBdr>
          <w:bottom w:val="single" w:sz="4" w:space="1" w:color="FB9120"/>
        </w:pBdr>
      </w:pPr>
      <w:r>
        <w:rPr>
          <w:rFonts w:ascii="Calibri" w:hAnsi="Calibri"/>
          <w:b/>
          <w:color w:val="3B4259"/>
          <w:sz w:val="40"/>
        </w:rPr>
        <w:t>9. Key Risks &amp; Catalysts</w:t>
      </w:r>
    </w:p>
    <w:p>
      <w:pPr>
        <w:pStyle w:val="Heading2"/>
      </w:pPr>
      <w:r>
        <w:rPr>
          <w:rFonts w:ascii="Calibri" w:hAnsi="Calibri"/>
          <w:b/>
          <w:color w:val="3B4259"/>
          <w:sz w:val="28"/>
        </w:rPr>
        <w:t>Catalysts (Upside)</w:t>
      </w:r>
    </w:p>
    <w:p>
      <w:pPr>
        <w:pStyle w:val="ListBullet"/>
        <w:ind w:left="360" w:hanging="360"/>
      </w:pPr>
      <w:r>
        <w:rPr>
          <w:rFonts w:ascii="Calibri" w:hAnsi="Calibri"/>
          <w:b/>
          <w:color w:val="525866"/>
          <w:sz w:val="22"/>
        </w:rPr>
        <w:t>GBT Gain Closes in Q2:</w:t>
      </w:r>
      <w:r>
        <w:rPr>
          <w:rFonts w:ascii="Calibri" w:hAnsi="Calibri"/>
          <w:color w:val="525866"/>
          <w:sz w:val="22"/>
        </w:rPr>
        <w:t xml:space="preserve"> If the ~$975M pre-tax gain from the GBTG stake sale is recognized in Q2, it creates a large one-time EPS tailwind above consensus. Management's reinvestment framework (tech + card acquisition + partial shareholder return) could be viewed positively if the ROI case is compelling.</w:t>
      </w:r>
    </w:p>
    <w:p>
      <w:pPr>
        <w:pStyle w:val="ListBullet"/>
        <w:ind w:left="360" w:hanging="360"/>
      </w:pPr>
      <w:r>
        <w:rPr>
          <w:rFonts w:ascii="Calibri" w:hAnsi="Calibri"/>
          <w:b/>
          <w:color w:val="525866"/>
          <w:sz w:val="22"/>
        </w:rPr>
        <w:t>Billed Business Acceleration:</w:t>
      </w:r>
      <w:r>
        <w:rPr>
          <w:rFonts w:ascii="Calibri" w:hAnsi="Calibri"/>
          <w:color w:val="525866"/>
          <w:sz w:val="22"/>
        </w:rPr>
        <w:t xml:space="preserve"> Management confirmed Q2 QTD running slightly ahead of Q1's 10% pace. If the full quarter sustains this, billed business could come in above the ~$456B consensus, driving a positive revenue surprise.</w:t>
      </w:r>
    </w:p>
    <w:p>
      <w:pPr>
        <w:pStyle w:val="ListBullet"/>
        <w:ind w:left="360" w:hanging="360"/>
      </w:pPr>
      <w:r>
        <w:rPr>
          <w:rFonts w:ascii="Calibri" w:hAnsi="Calibri"/>
          <w:b/>
          <w:color w:val="525866"/>
          <w:sz w:val="22"/>
        </w:rPr>
        <w:t>Net Card Fee Acceleration:</w:t>
      </w:r>
      <w:r>
        <w:rPr>
          <w:rFonts w:ascii="Calibri" w:hAnsi="Calibri"/>
          <w:color w:val="525866"/>
          <w:sz w:val="22"/>
        </w:rPr>
        <w:t xml:space="preserve"> Platinum refresh anniversary fees are compounding through the year; management guided to exit 2026 in high-teens growth. Q2 consensus of ~$2.90B (+17% YoY) could be conservative if back-book repricing is tracking ahead.</w:t>
      </w:r>
    </w:p>
    <w:p>
      <w:pPr>
        <w:pStyle w:val="ListBullet"/>
        <w:ind w:left="360" w:hanging="360"/>
      </w:pPr>
      <w:r>
        <w:rPr>
          <w:rFonts w:ascii="Calibri" w:hAnsi="Calibri"/>
          <w:b/>
          <w:color w:val="525866"/>
          <w:sz w:val="22"/>
        </w:rPr>
        <w:t>Credit Upside:</w:t>
      </w:r>
      <w:r>
        <w:rPr>
          <w:rFonts w:ascii="Calibri" w:hAnsi="Calibri"/>
          <w:color w:val="525866"/>
          <w:sz w:val="22"/>
        </w:rPr>
        <w:t xml:space="preserve"> June credit data (8-K, Jul 15) showed Q2 write-off rate of 1.8% (3-month avg) and delinquency of 1.1% — both better than consensus expectations. A reserve release or lower provision could provide an additional EPS tailwind.</w:t>
      </w:r>
    </w:p>
    <w:p>
      <w:pPr>
        <w:pStyle w:val="ListBullet"/>
        <w:ind w:left="360" w:hanging="360"/>
      </w:pPr>
      <w:r>
        <w:rPr>
          <w:rFonts w:ascii="Calibri" w:hAnsi="Calibri"/>
          <w:b/>
          <w:color w:val="525866"/>
          <w:sz w:val="22"/>
        </w:rPr>
        <w:t>Commercial Product Momentum:</w:t>
      </w:r>
      <w:r>
        <w:rPr>
          <w:rFonts w:ascii="Calibri" w:hAnsi="Calibri"/>
          <w:color w:val="525866"/>
          <w:sz w:val="22"/>
        </w:rPr>
        <w:t xml:space="preserve"> Center expense management platform and Corporate Cash Back Card (launching September) could generate incremental commercial segment interest; any early traction commentary would be a positive catalyst.</w:t>
      </w:r>
    </w:p>
    <w:p>
      <w:pPr>
        <w:pStyle w:val="ListBullet"/>
        <w:ind w:left="360" w:hanging="360"/>
      </w:pPr>
      <w:r>
        <w:rPr>
          <w:rFonts w:ascii="Calibri" w:hAnsi="Calibri"/>
          <w:b/>
          <w:color w:val="525866"/>
          <w:sz w:val="22"/>
        </w:rPr>
        <w:t>Agentic Commerce First-Mover:</w:t>
      </w:r>
      <w:r>
        <w:rPr>
          <w:rFonts w:ascii="Calibri" w:hAnsi="Calibri"/>
          <w:color w:val="525866"/>
          <w:sz w:val="22"/>
        </w:rPr>
        <w:t xml:space="preserve"> Any incremental disclosure on ACE Developer Kit adoption, Anthropic partnership traction, or agent purchase protection uptake could re-rate the long-term growth narrative.</w:t>
      </w:r>
    </w:p>
    <w:p>
      <w:pPr>
        <w:pStyle w:val="Heading2"/>
      </w:pPr>
      <w:r>
        <w:rPr>
          <w:rFonts w:ascii="Calibri" w:hAnsi="Calibri"/>
          <w:b/>
          <w:color w:val="3B4259"/>
          <w:sz w:val="28"/>
        </w:rPr>
        <w:t>Risks (Downside)</w:t>
      </w:r>
    </w:p>
    <w:p>
      <w:pPr>
        <w:pStyle w:val="ListBullet"/>
        <w:ind w:left="360" w:hanging="360"/>
      </w:pPr>
      <w:r>
        <w:rPr>
          <w:rFonts w:ascii="Calibri" w:hAnsi="Calibri"/>
          <w:b/>
          <w:color w:val="525866"/>
          <w:sz w:val="22"/>
        </w:rPr>
        <w:t>GBT Gain Reinvestment Disappointment:</w:t>
      </w:r>
      <w:r>
        <w:rPr>
          <w:rFonts w:ascii="Calibri" w:hAnsi="Calibri"/>
          <w:color w:val="525866"/>
          <w:sz w:val="22"/>
        </w:rPr>
        <w:t xml:space="preserve"> If the gain closes in Q2 but management reinvests the entirety into expenses (as signaled), the stock could react negatively again — similar to the Q1 earnings-day selloff — if investors view the reinvestment as dilutive to near-term EPS.</w:t>
      </w:r>
    </w:p>
    <w:p>
      <w:pPr>
        <w:pStyle w:val="ListBullet"/>
        <w:ind w:left="360" w:hanging="360"/>
      </w:pPr>
      <w:r>
        <w:rPr>
          <w:rFonts w:ascii="Calibri" w:hAnsi="Calibri"/>
          <w:b/>
          <w:color w:val="525866"/>
          <w:sz w:val="22"/>
        </w:rPr>
        <w:t>Amazon/Lowe’s Portfolio Transfer Drag:</w:t>
      </w:r>
      <w:r>
        <w:rPr>
          <w:rFonts w:ascii="Calibri" w:hAnsi="Calibri"/>
          <w:color w:val="525866"/>
          <w:sz w:val="22"/>
        </w:rPr>
        <w:t xml:space="preserve"> The co-brand portfolio transfers create a low-single-digit drag on commercial billed business starting Q2. If the drag is larger than expected or management's commentary on the impact is more cautious, it could weigh on the commercial segment narrative.</w:t>
      </w:r>
    </w:p>
    <w:p>
      <w:pPr>
        <w:pStyle w:val="ListBullet"/>
        <w:ind w:left="360" w:hanging="360"/>
      </w:pPr>
      <w:r>
        <w:rPr>
          <w:rFonts w:ascii="Calibri" w:hAnsi="Calibri"/>
          <w:b/>
          <w:color w:val="525866"/>
          <w:sz w:val="22"/>
        </w:rPr>
        <w:t>Airline/T&amp;E Softness Re-Emergence:</w:t>
      </w:r>
      <w:r>
        <w:rPr>
          <w:rFonts w:ascii="Calibri" w:hAnsi="Calibri"/>
          <w:color w:val="525866"/>
          <w:sz w:val="22"/>
        </w:rPr>
        <w:t xml:space="preserve"> While airline spending recovered in April (9% growth), any re-emergence of geopolitical travel disruptions or consumer pullback in T&amp;E in May/June could weigh on billed business.</w:t>
      </w:r>
    </w:p>
    <w:p>
      <w:pPr>
        <w:pStyle w:val="ListBullet"/>
        <w:ind w:left="360" w:hanging="360"/>
      </w:pPr>
      <w:r>
        <w:rPr>
          <w:rFonts w:ascii="Calibri" w:hAnsi="Calibri"/>
          <w:b/>
          <w:color w:val="525866"/>
          <w:sz w:val="22"/>
        </w:rPr>
        <w:t>Macro / Second-Order Inflation Risk:</w:t>
      </w:r>
      <w:r>
        <w:rPr>
          <w:rFonts w:ascii="Calibri" w:hAnsi="Calibri"/>
          <w:color w:val="525866"/>
          <w:sz w:val="22"/>
        </w:rPr>
        <w:t xml:space="preserve"> CFO explicitly flagged the "second-order impact of inflation onto the economy" (unemployment, credit events, FX, interest rates) as the primary risk. Any deterioration in the macro backdrop in Q3 could prompt guidance caution.</w:t>
      </w:r>
    </w:p>
    <w:p>
      <w:pPr>
        <w:pStyle w:val="ListBullet"/>
        <w:ind w:left="360" w:hanging="360"/>
      </w:pPr>
      <w:r>
        <w:rPr>
          <w:rFonts w:ascii="Calibri" w:hAnsi="Calibri"/>
          <w:b/>
          <w:color w:val="525866"/>
          <w:sz w:val="22"/>
        </w:rPr>
        <w:t>Middle Market Commercial Underperformance:</w:t>
      </w:r>
      <w:r>
        <w:rPr>
          <w:rFonts w:ascii="Calibri" w:hAnsi="Calibri"/>
          <w:color w:val="525866"/>
          <w:sz w:val="22"/>
        </w:rPr>
        <w:t xml:space="preserve"> Management acknowledged a strategic misstep in the middle market segment. If Center and the new commercial products are slower to gain traction than expected, commercial billed business growth could disappoint.</w:t>
      </w:r>
    </w:p>
    <w:p>
      <w:pPr>
        <w:pStyle w:val="ListBullet"/>
        <w:ind w:left="360" w:hanging="360"/>
      </w:pPr>
      <w:r>
        <w:rPr>
          <w:rFonts w:ascii="Calibri" w:hAnsi="Calibri"/>
          <w:b/>
          <w:color w:val="525866"/>
          <w:sz w:val="22"/>
        </w:rPr>
        <w:t>Valuation Leaves Limited Cushion:</w:t>
      </w:r>
      <w:r>
        <w:rPr>
          <w:rFonts w:ascii="Calibri" w:hAnsi="Calibri"/>
          <w:color w:val="525866"/>
          <w:sz w:val="22"/>
        </w:rPr>
        <w:t xml:space="preserve"> At 18.3x NTM P/E, AXP trades at a meaningful premium to the financial sector. Any guidance miss or tone shift toward caution could compress the multiple, as the stock has limited room for error at current levels.</w:t>
      </w:r>
    </w:p>
    <w:p>
      <w:r>
        <w:br w:type="page"/>
      </w:r>
    </w:p>
    <w:p>
      <w:pPr>
        <w:pStyle w:val="Heading2"/>
      </w:pPr>
      <w:r>
        <w:rPr>
          <w:rFonts w:ascii="Calibri" w:hAnsi="Calibri"/>
          <w:b/>
          <w:color w:val="3B4259"/>
          <w:sz w:val="28"/>
        </w:rPr>
        <w:t>Appendix: Key Data Sources &amp; Citations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Data Source</w:t>
            </w:r>
          </w:p>
        </w:tc>
        <w:tc>
          <w:tcPr>
            <w:tcW w:type="dxa" w:w="2880"/>
            <w:shd w:val="clear" w:color="auto" w:fill="3B4259"/>
          </w:tcPr>
          <w:p>
            <w:r>
              <w:rPr>
                <w:rFonts w:ascii="Calibri" w:hAnsi="Calibri"/>
                <w:b/>
                <w:color w:val="FFFFFF"/>
                <w:sz w:val="22"/>
              </w:rPr>
              <w:t>Coverage</w:t>
            </w:r>
          </w:p>
        </w:tc>
        <w:tc>
          <w:tcPr>
            <w:tcW w:type="dxa" w:w="2880"/>
            <w:shd w:val="clear" w:color="auto" w:fill="3B4259"/>
          </w:tcPr>
          <w:p>
            <w:r>
              <w:rPr>
                <w:rFonts w:ascii="Calibri" w:hAnsi="Calibri"/>
                <w:b/>
                <w:color w:val="FFFFFF"/>
                <w:sz w:val="22"/>
              </w:rPr>
              <w:t>Reference</w:t>
            </w:r>
          </w:p>
        </w:tc>
      </w:tr>
      <w:tr>
        <w:tc>
          <w:tcPr>
            <w:tcW w:type="dxa" w:w="2880"/>
          </w:tcPr>
          <w:p>
            <w:r>
              <w:rPr>
                <w:rFonts w:ascii="Calibri" w:hAnsi="Calibri"/>
                <w:sz w:val="22"/>
              </w:rPr>
              <w:t>Visible Alpha Consensus &amp; Actuals</w:t>
            </w:r>
          </w:p>
        </w:tc>
        <w:tc>
          <w:tcPr>
            <w:tcW w:type="dxa" w:w="2880"/>
          </w:tcPr>
          <w:p>
            <w:r>
              <w:rPr>
                <w:rFonts w:ascii="Calibri" w:hAnsi="Calibri"/>
                <w:sz w:val="22"/>
              </w:rPr>
              <w:t>All KPI consensus estimates and actuals (EPS, Revenue, Billed Business, Net Card Fees, Credit Metrics)</w:t>
            </w:r>
          </w:p>
        </w:tc>
        <w:tc>
          <w:tcPr>
            <w:tcW w:type="dxa" w:w="2880"/>
          </w:tcPr>
          <w:p>
            <w:r>
              <w:rPr>
                <w:rFonts w:ascii="Calibri" w:hAnsi="Calibri"/>
                <w:sz w:val="22"/>
              </w:rPr>
              <w:t>https://insights.visiblealpha.com/mex/AXP/NMV/IS | /OP | /USCS | /CQN</w:t>
            </w:r>
          </w:p>
        </w:tc>
      </w:tr>
      <w:tr>
        <w:tc>
          <w:tcPr>
            <w:tcW w:type="dxa" w:w="2880"/>
          </w:tcPr>
          <w:p>
            <w:r>
              <w:rPr>
                <w:rFonts w:ascii="Calibri" w:hAnsi="Calibri"/>
                <w:sz w:val="22"/>
              </w:rPr>
              <w:t>AXP Q1 2026 Earnings Call Transcript</w:t>
            </w:r>
          </w:p>
        </w:tc>
        <w:tc>
          <w:tcPr>
            <w:tcW w:type="dxa" w:w="2880"/>
          </w:tcPr>
          <w:p>
            <w:r>
              <w:rPr>
                <w:rFonts w:ascii="Calibri" w:hAnsi="Calibri"/>
                <w:sz w:val="22"/>
              </w:rPr>
              <w:t>Q1 results, FY guidance, post-Q1 spending trends, commercial roadmap, GBT context</w:t>
            </w:r>
          </w:p>
        </w:tc>
        <w:tc>
          <w:tcPr>
            <w:tcW w:type="dxa" w:w="2880"/>
          </w:tcPr>
          <w:p>
            <w:r>
              <w:rPr>
                <w:rFonts w:ascii="Calibri" w:hAnsi="Calibri"/>
                <w:sz w:val="22"/>
              </w:rPr>
              <w:t>April 23, 2026</w:t>
            </w:r>
          </w:p>
        </w:tc>
      </w:tr>
      <w:tr>
        <w:tc>
          <w:tcPr>
            <w:tcW w:type="dxa" w:w="2880"/>
          </w:tcPr>
          <w:p>
            <w:r>
              <w:rPr>
                <w:rFonts w:ascii="Calibri" w:hAnsi="Calibri"/>
                <w:sz w:val="22"/>
              </w:rPr>
              <w:t>AXP 8-K — GBT Stake Sale</w:t>
            </w:r>
          </w:p>
        </w:tc>
        <w:tc>
          <w:tcPr>
            <w:tcW w:type="dxa" w:w="2880"/>
          </w:tcPr>
          <w:p>
            <w:r>
              <w:rPr>
                <w:rFonts w:ascii="Calibri" w:hAnsi="Calibri"/>
                <w:sz w:val="22"/>
              </w:rPr>
              <w:t>~$975M pre-tax gain, ~$1.5B proceeds, capital allocation framework</w:t>
            </w:r>
          </w:p>
        </w:tc>
        <w:tc>
          <w:tcPr>
            <w:tcW w:type="dxa" w:w="2880"/>
          </w:tcPr>
          <w:p>
            <w:r>
              <w:rPr>
                <w:rFonts w:ascii="Calibri" w:hAnsi="Calibri"/>
                <w:sz w:val="22"/>
              </w:rPr>
              <w:t>May 4, 2026</w:t>
            </w:r>
          </w:p>
        </w:tc>
      </w:tr>
      <w:tr>
        <w:tc>
          <w:tcPr>
            <w:tcW w:type="dxa" w:w="2880"/>
          </w:tcPr>
          <w:p>
            <w:r>
              <w:rPr>
                <w:rFonts w:ascii="Calibri" w:hAnsi="Calibri"/>
                <w:sz w:val="22"/>
              </w:rPr>
              <w:t>AXP Bernstein Conference Transcript</w:t>
            </w:r>
          </w:p>
        </w:tc>
        <w:tc>
          <w:tcPr>
            <w:tcW w:type="dxa" w:w="2880"/>
          </w:tcPr>
          <w:p>
            <w:r>
              <w:rPr>
                <w:rFonts w:ascii="Calibri" w:hAnsi="Calibri"/>
                <w:sz w:val="22"/>
              </w:rPr>
              <w:t>Q2 QTD spending, airline recovery, credit stability, Platinum refresh data</w:t>
            </w:r>
          </w:p>
        </w:tc>
        <w:tc>
          <w:tcPr>
            <w:tcW w:type="dxa" w:w="2880"/>
          </w:tcPr>
          <w:p>
            <w:r>
              <w:rPr>
                <w:rFonts w:ascii="Calibri" w:hAnsi="Calibri"/>
                <w:sz w:val="22"/>
              </w:rPr>
              <w:t>May 28, 2026</w:t>
            </w:r>
          </w:p>
        </w:tc>
      </w:tr>
      <w:tr>
        <w:tc>
          <w:tcPr>
            <w:tcW w:type="dxa" w:w="2880"/>
          </w:tcPr>
          <w:p>
            <w:r>
              <w:rPr>
                <w:rFonts w:ascii="Calibri" w:hAnsi="Calibri"/>
                <w:sz w:val="22"/>
              </w:rPr>
              <w:t>AXP Morgan Stanley Financials Conference Transcript</w:t>
            </w:r>
          </w:p>
        </w:tc>
        <w:tc>
          <w:tcPr>
            <w:tcW w:type="dxa" w:w="2880"/>
          </w:tcPr>
          <w:p>
            <w:r>
              <w:rPr>
                <w:rFonts w:ascii="Calibri" w:hAnsi="Calibri"/>
                <w:sz w:val="22"/>
              </w:rPr>
              <w:t>Q2 QTD confirmation, portfolio strength, macro commentary</w:t>
            </w:r>
          </w:p>
        </w:tc>
        <w:tc>
          <w:tcPr>
            <w:tcW w:type="dxa" w:w="2880"/>
          </w:tcPr>
          <w:p>
            <w:r>
              <w:rPr>
                <w:rFonts w:ascii="Calibri" w:hAnsi="Calibri"/>
                <w:sz w:val="22"/>
              </w:rPr>
              <w:t>June 9, 2026</w:t>
            </w:r>
          </w:p>
        </w:tc>
      </w:tr>
      <w:tr>
        <w:tc>
          <w:tcPr>
            <w:tcW w:type="dxa" w:w="2880"/>
          </w:tcPr>
          <w:p>
            <w:r>
              <w:rPr>
                <w:rFonts w:ascii="Calibri" w:hAnsi="Calibri"/>
                <w:sz w:val="22"/>
              </w:rPr>
              <w:t>AXP 8-K — June Credit Statistics</w:t>
            </w:r>
          </w:p>
        </w:tc>
        <w:tc>
          <w:tcPr>
            <w:tcW w:type="dxa" w:w="2880"/>
          </w:tcPr>
          <w:p>
            <w:r>
              <w:rPr>
                <w:rFonts w:ascii="Calibri" w:hAnsi="Calibri"/>
                <w:sz w:val="22"/>
              </w:rPr>
              <w:t>Q2 write-off rates, delinquency, card balances (preliminary)</w:t>
            </w:r>
          </w:p>
        </w:tc>
        <w:tc>
          <w:tcPr>
            <w:tcW w:type="dxa" w:w="2880"/>
          </w:tcPr>
          <w:p>
            <w:r>
              <w:rPr>
                <w:rFonts w:ascii="Calibri" w:hAnsi="Calibri"/>
                <w:sz w:val="22"/>
              </w:rPr>
              <w:t>July 15, 2026</w:t>
            </w:r>
          </w:p>
        </w:tc>
      </w:tr>
      <w:tr>
        <w:tc>
          <w:tcPr>
            <w:tcW w:type="dxa" w:w="2880"/>
          </w:tcPr>
          <w:p>
            <w:r>
              <w:rPr>
                <w:rFonts w:ascii="Calibri" w:hAnsi="Calibri"/>
                <w:sz w:val="22"/>
              </w:rPr>
              <w:t>COF Q2 2026 Earnings Call Transcript</w:t>
            </w:r>
          </w:p>
        </w:tc>
        <w:tc>
          <w:tcPr>
            <w:tcW w:type="dxa" w:w="2880"/>
          </w:tcPr>
          <w:p>
            <w:r>
              <w:rPr>
                <w:rFonts w:ascii="Calibri" w:hAnsi="Calibri"/>
                <w:sz w:val="22"/>
              </w:rPr>
              <w:t>Peer read-through: upmarket spending, credit improvement, consumer resilience</w:t>
            </w:r>
          </w:p>
        </w:tc>
        <w:tc>
          <w:tcPr>
            <w:tcW w:type="dxa" w:w="2880"/>
          </w:tcPr>
          <w:p>
            <w:r>
              <w:rPr>
                <w:rFonts w:ascii="Calibri" w:hAnsi="Calibri"/>
                <w:sz w:val="22"/>
              </w:rPr>
              <w:t>July 21, 2026</w:t>
            </w:r>
          </w:p>
        </w:tc>
      </w:tr>
      <w:tr>
        <w:tc>
          <w:tcPr>
            <w:tcW w:type="dxa" w:w="2880"/>
          </w:tcPr>
          <w:p>
            <w:r>
              <w:rPr>
                <w:rFonts w:ascii="Calibri" w:hAnsi="Calibri"/>
                <w:sz w:val="22"/>
              </w:rPr>
              <w:t>SYF Q2 2026 Earnings Call Transcript</w:t>
            </w:r>
          </w:p>
        </w:tc>
        <w:tc>
          <w:tcPr>
            <w:tcW w:type="dxa" w:w="2880"/>
          </w:tcPr>
          <w:p>
            <w:r>
              <w:rPr>
                <w:rFonts w:ascii="Calibri" w:hAnsi="Calibri"/>
                <w:sz w:val="22"/>
              </w:rPr>
              <w:t>Peer read-through: purchase volume all-time high, credit improvement, demand strength</w:t>
            </w:r>
          </w:p>
        </w:tc>
        <w:tc>
          <w:tcPr>
            <w:tcW w:type="dxa" w:w="2880"/>
          </w:tcPr>
          <w:p>
            <w:r>
              <w:rPr>
                <w:rFonts w:ascii="Calibri" w:hAnsi="Calibri"/>
                <w:sz w:val="22"/>
              </w:rPr>
              <w:t>July 21, 2026</w:t>
            </w:r>
          </w:p>
        </w:tc>
      </w:tr>
      <w:tr>
        <w:tc>
          <w:tcPr>
            <w:tcW w:type="dxa" w:w="2880"/>
          </w:tcPr>
          <w:p>
            <w:r>
              <w:rPr>
                <w:rFonts w:ascii="Calibri" w:hAnsi="Calibri"/>
                <w:sz w:val="22"/>
              </w:rPr>
              <w:t>Visa Bernstein &amp; Baird Conference Transcripts</w:t>
            </w:r>
          </w:p>
        </w:tc>
        <w:tc>
          <w:tcPr>
            <w:tcW w:type="dxa" w:w="2880"/>
          </w:tcPr>
          <w:p>
            <w:r>
              <w:rPr>
                <w:rFonts w:ascii="Calibri" w:hAnsi="Calibri"/>
                <w:sz w:val="22"/>
              </w:rPr>
              <w:t>Peer read-through: spending resilience, cross-border strength, T&amp;E commentary</w:t>
            </w:r>
          </w:p>
        </w:tc>
        <w:tc>
          <w:tcPr>
            <w:tcW w:type="dxa" w:w="2880"/>
          </w:tcPr>
          <w:p>
            <w:r>
              <w:rPr>
                <w:rFonts w:ascii="Calibri" w:hAnsi="Calibri"/>
                <w:sz w:val="22"/>
              </w:rPr>
              <w:t>May 28 &amp; June 3, 2026</w:t>
            </w:r>
          </w:p>
        </w:tc>
      </w:tr>
      <w:tr>
        <w:tc>
          <w:tcPr>
            <w:tcW w:type="dxa" w:w="2880"/>
          </w:tcPr>
          <w:p>
            <w:r>
              <w:rPr>
                <w:rFonts w:ascii="Calibri" w:hAnsi="Calibri"/>
                <w:sz w:val="22"/>
              </w:rPr>
              <w:t>Mastercard Bernstein &amp; RBC Conference Transcripts</w:t>
            </w:r>
          </w:p>
        </w:tc>
        <w:tc>
          <w:tcPr>
            <w:tcW w:type="dxa" w:w="2880"/>
          </w:tcPr>
          <w:p>
            <w:r>
              <w:rPr>
                <w:rFonts w:ascii="Calibri" w:hAnsi="Calibri"/>
                <w:sz w:val="22"/>
              </w:rPr>
              <w:t>Peer read-through: consumer spending capacity, secular digitization, agentic commerce</w:t>
            </w:r>
          </w:p>
        </w:tc>
        <w:tc>
          <w:tcPr>
            <w:tcW w:type="dxa" w:w="2880"/>
          </w:tcPr>
          <w:p>
            <w:r>
              <w:rPr>
                <w:rFonts w:ascii="Calibri" w:hAnsi="Calibri"/>
                <w:sz w:val="22"/>
              </w:rPr>
              <w:t>May 28 &amp; June 9, 2026</w:t>
            </w:r>
          </w:p>
        </w:tc>
      </w:tr>
      <w:tr>
        <w:tc>
          <w:tcPr>
            <w:tcW w:type="dxa" w:w="2880"/>
          </w:tcPr>
          <w:p>
            <w:r>
              <w:rPr>
                <w:rFonts w:ascii="Calibri" w:hAnsi="Calibri"/>
                <w:sz w:val="22"/>
              </w:rPr>
              <w:t>Stock Price Data (Yahoo Finance)</w:t>
            </w:r>
          </w:p>
        </w:tc>
        <w:tc>
          <w:tcPr>
            <w:tcW w:type="dxa" w:w="2880"/>
          </w:tcPr>
          <w:p>
            <w:r>
              <w:rPr>
                <w:rFonts w:ascii="Calibri" w:hAnsi="Calibri"/>
                <w:sz w:val="22"/>
              </w:rPr>
              <w:t>AXP, XLF, SPY daily closing prices since April 22, 2026</w:t>
            </w:r>
          </w:p>
        </w:tc>
        <w:tc>
          <w:tcPr>
            <w:tcW w:type="dxa" w:w="2880"/>
          </w:tcPr>
          <w:p>
            <w:r>
              <w:rPr>
                <w:rFonts w:ascii="Calibri" w:hAnsi="Calibri"/>
                <w:sz w:val="22"/>
              </w:rPr>
              <w:t>https://www.google.com/search?q=AXP+stock+price</w:t>
            </w:r>
          </w:p>
        </w:tc>
      </w:tr>
      <w:tr>
        <w:tc>
          <w:tcPr>
            <w:tcW w:type="dxa" w:w="2880"/>
          </w:tcPr>
          <w:p>
            <w:r>
              <w:rPr>
                <w:rFonts w:ascii="Calibri" w:hAnsi="Calibri"/>
                <w:sz w:val="22"/>
              </w:rPr>
              <w:t>SEC Form 4 Filings (EDGAR)</w:t>
            </w:r>
          </w:p>
        </w:tc>
        <w:tc>
          <w:tcPr>
            <w:tcW w:type="dxa" w:w="2880"/>
          </w:tcPr>
          <w:p>
            <w:r>
              <w:rPr>
                <w:rFonts w:ascii="Calibri" w:hAnsi="Calibri"/>
                <w:sz w:val="22"/>
              </w:rPr>
              <w:t>Insider transaction activity (May–July 2026)</w:t>
            </w:r>
          </w:p>
        </w:tc>
        <w:tc>
          <w:tcPr>
            <w:tcW w:type="dxa" w:w="2880"/>
          </w:tcPr>
          <w:p>
            <w:r>
              <w:rPr>
                <w:rFonts w:ascii="Calibri" w:hAnsi="Calibri"/>
                <w:sz w:val="22"/>
              </w:rPr>
              <w:t>https://www.sec.gov/</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