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bkr-earnings-predictions--2026-07-27"/>
    <w:p>
      <w:pPr>
        <w:pStyle w:val="Heading1"/>
      </w:pPr>
      <w:r>
        <w:t xml:space="preserve">BKR Earnings Predictions — 2026-07-27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BKR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~$0.52 vs. cons $0.51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BKR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Total Revenue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~$6.35B vs. cons $6.50B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BKR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OFSE Segment Adjusted EBITDA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~$480M vs. cons/guide $540M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BKR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OFSE Segment Adjusted EBITDA guide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~$2.15B vs. cons $2.325B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BKR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IET Segment Adjusted EBITDA guide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~$2.70B vs. cons $2.70B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BKR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Company Adjusted EBITDA guide (first Chart-inclusive quarter)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~$1.35B vs. cons $1.25B (Q3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BKR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Net leverage target/glide path post-Chart close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1.0x-1.5x vs. cons 1.0x-1.5x (within 24 months of July 2026 close)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BKR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BKR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-1.0% (FADE)</w:t>
            </w:r>
          </w:p>
        </w:tc>
        <w:tc>
          <w:tcPr/>
          <w:p>
            <w:pPr>
              <w:pStyle w:val="Compact"/>
            </w:pPr>
            <w:r>
              <w:t xml:space="preserve">Initial relief from the first Chart-inclusive guide and a headline EPS beat (positive Earnings ESP) likely drives a modest pop, but as sell-side analysts rebuild models over the following days they will absorb the FY2026 OFSE EBITDA cut (Middle East disruption persisted past the June-resolution assumption), higher pro-forma interest expense/share count from the $8.5B+ of new Chart-related debt, and integration costs — pulling blended FY2026/FY2027 EPS estimates down even after the in-line-to-beat quarter, causing the initial pop to fade over the week.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2026-07-27T00:09:02Z</dcterms:created>
  <dcterms:modified xsi:type="dcterms:W3CDTF">2026-07-27T00:09:02Z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