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bkr-earnings-predictions--2026-07-27"/>
    <w:p>
      <w:pPr>
        <w:pStyle w:val="Heading1"/>
      </w:pPr>
      <w:r>
        <w:t xml:space="preserve">BKR Earnings Predictions — 2026-07-27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BKR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~$6.74B vs. cons $6.52B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BKR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~$1.23B vs. cons $1.14B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BKR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IET orders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~$7.09B vs. cons $4.60B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BKR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IET orders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~$19.0B vs. cons $17.0B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BKR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Combined-company adjusted EBITDA including Chart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~$5.40B vs. cons $5.30B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BKR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Combined-company revenue including Chart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~$29.3B vs. cons $29.0B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BKR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+5.0%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BKR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+3.0% (FADE)</w:t>
            </w:r>
          </w:p>
        </w:tc>
        <w:tc>
          <w:tcPr/>
          <w:p>
            <w:pPr>
              <w:pStyle w:val="Compact"/>
            </w:pPr>
            <w:r>
              <w:t xml:space="preserve">The exceptional IET orders, EBITDA beat, and improved cash flow should drive the initial re-rating, but much of the backlog converts after 2026. Chart financing, purchase-accounting, integration costs, and capacity investment are likely to limit near-term EPS revisions, causing part of the day-1 gain to fade while positive out-period order revisions preserve a net five-day gain.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2026-07-27T00:04:40Z</dcterms:created>
  <dcterms:modified xsi:type="dcterms:W3CDTF">2026-07-27T00:04:40Z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