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127bbbe58bc57baf7ed65ddfc9dc78b72dd719"/>
    <w:p>
      <w:pPr>
        <w:pStyle w:val="Heading1"/>
      </w:pPr>
      <w:r>
        <w:t xml:space="preserve">Baker Hughes (BKR) 2026 Q2 Earnings Call Preview</w:t>
      </w:r>
    </w:p>
    <w:p>
      <w:pPr>
        <w:pStyle w:val="BlockText"/>
      </w:pPr>
      <w:r>
        <w:rPr>
          <w:b/>
          <w:bCs/>
        </w:rPr>
        <w:t xml:space="preserve">Timing note:</w:t>
      </w:r>
      <w:r>
        <w:t xml:space="preserve"> </w:t>
      </w:r>
      <w:r>
        <w:t xml:space="preserve">Baker Hughes released its second-quarter results on</w:t>
      </w:r>
      <w:r>
        <w:t xml:space="preserve"> </w:t>
      </w:r>
      <w:r>
        <w:rPr>
          <w:b/>
          <w:bCs/>
        </w:rPr>
        <w:t xml:space="preserve">Sunday, July 26, 2026</w:t>
      </w:r>
      <w:r>
        <w:t xml:space="preserve">. The earnings call is scheduled for</w:t>
      </w:r>
      <w:r>
        <w:t xml:space="preserve"> </w:t>
      </w:r>
      <w:r>
        <w:rPr>
          <w:b/>
          <w:bCs/>
        </w:rPr>
        <w:t xml:space="preserve">Monday, July 27, 2026, at 9:30 a.m. ET</w:t>
      </w:r>
      <w:r>
        <w:t xml:space="preserve">. Accordingly, this is best viewed as a</w:t>
      </w:r>
      <w:r>
        <w:t xml:space="preserve"> </w:t>
      </w:r>
      <w:r>
        <w:rPr>
          <w:b/>
          <w:bCs/>
        </w:rPr>
        <w:t xml:space="preserve">preview of the call and forward outlook</w:t>
      </w:r>
      <w:r>
        <w:t xml:space="preserve">, rather than a preview of the reported numbers.</w:t>
      </w:r>
    </w:p>
    <w:bookmarkStart w:id="9" w:name="executive-take"/>
    <w:p>
      <w:pPr>
        <w:pStyle w:val="Heading2"/>
      </w:pPr>
      <w:r>
        <w:t xml:space="preserve">Executive take</w:t>
      </w:r>
    </w:p>
    <w:p>
      <w:pPr>
        <w:pStyle w:val="FirstParagraph"/>
      </w:pPr>
      <w:r>
        <w:t xml:space="preserve">The headline results are strong. Baker Hughes exceeded its own second-quarter EBITDA expectations, generated excellent free cash flow, and reported exceptional Industrial &amp; Energy Technology (“IET”) orders. The company also raised its IET order outlook and completed the Chart Industries acquisition on July 16.</w:t>
      </w:r>
    </w:p>
    <w:p>
      <w:pPr>
        <w:pStyle w:val="BodyText"/>
      </w:pPr>
      <w:r>
        <w:t xml:space="preserve">The main question for Monday is therefore not whether Q2 was good—it was—but</w:t>
      </w:r>
      <w:r>
        <w:t xml:space="preserve"> </w:t>
      </w:r>
      <w:r>
        <w:rPr>
          <w:b/>
          <w:bCs/>
        </w:rPr>
        <w:t xml:space="preserve">how much of the order acceleration can translate into profitable revenue, cash flow, and earnings over the next several years</w:t>
      </w:r>
      <w:r>
        <w:t xml:space="preserve">.</w:t>
      </w:r>
    </w:p>
    <w:p>
      <w:pPr>
        <w:pStyle w:val="BodyText"/>
      </w:pPr>
      <w:r>
        <w:t xml:space="preserve">Investors should focus on four issues:</w:t>
      </w:r>
    </w:p>
    <w:p>
      <w:pPr>
        <w:pStyle w:val="Compact"/>
        <w:numPr>
          <w:ilvl w:val="0"/>
          <w:numId w:val="1001"/>
        </w:numPr>
      </w:pPr>
      <w:r>
        <w:rPr>
          <w:b/>
          <w:bCs/>
        </w:rPr>
        <w:t xml:space="preserve">The magnitude and quality of the revised IET order outlook</w:t>
      </w:r>
    </w:p>
    <w:p>
      <w:pPr>
        <w:pStyle w:val="Compact"/>
        <w:numPr>
          <w:ilvl w:val="0"/>
          <w:numId w:val="1001"/>
        </w:numPr>
      </w:pPr>
      <w:r>
        <w:rPr>
          <w:b/>
          <w:bCs/>
        </w:rPr>
        <w:t xml:space="preserve">Updated 2026 guidance including Chart</w:t>
      </w:r>
    </w:p>
    <w:p>
      <w:pPr>
        <w:pStyle w:val="Compact"/>
        <w:numPr>
          <w:ilvl w:val="0"/>
          <w:numId w:val="1001"/>
        </w:numPr>
      </w:pPr>
      <w:r>
        <w:rPr>
          <w:b/>
          <w:bCs/>
        </w:rPr>
        <w:t xml:space="preserve">Power-generation capacity expansion and associated capital requirements</w:t>
      </w:r>
    </w:p>
    <w:p>
      <w:pPr>
        <w:pStyle w:val="Compact"/>
        <w:numPr>
          <w:ilvl w:val="0"/>
          <w:numId w:val="1001"/>
        </w:numPr>
      </w:pPr>
      <w:r>
        <w:rPr>
          <w:b/>
          <w:bCs/>
        </w:rPr>
        <w:t xml:space="preserve">The pace of Middle East recovery in Oilfield Services &amp; Equipment (“OFSE”)</w:t>
      </w:r>
    </w:p>
    <w:p>
      <w:r>
        <w:pict>
          <v:rect style="width:0;height:1.5pt" o:hralign="center" o:hrstd="t" o:hr="t"/>
        </w:pict>
      </w:r>
    </w:p>
    <w:bookmarkEnd w:id="9"/>
    <w:bookmarkStart w:id="10" w:name="q2-scorecard"/>
    <w:p>
      <w:pPr>
        <w:pStyle w:val="Heading2"/>
      </w:pPr>
      <w:r>
        <w:t xml:space="preserve">Q2 scorecard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Q2 2026</w:t>
            </w:r>
          </w:p>
        </w:tc>
        <w:tc>
          <w:tcPr/>
          <w:p>
            <w:pPr>
              <w:pStyle w:val="Compact"/>
              <w:jc w:val="right"/>
            </w:pPr>
            <w:r>
              <w:t xml:space="preserve">Q1 2026</w:t>
            </w:r>
          </w:p>
        </w:tc>
        <w:tc>
          <w:tcPr/>
          <w:p>
            <w:pPr>
              <w:pStyle w:val="Compact"/>
              <w:jc w:val="right"/>
            </w:pPr>
            <w:r>
              <w:t xml:space="preserve">Q2 2025</w:t>
            </w:r>
          </w:p>
        </w:tc>
        <w:tc>
          <w:tcPr/>
          <w:p>
            <w:pPr>
              <w:pStyle w:val="Compact"/>
            </w:pPr>
            <w:r>
              <w:t xml:space="preserve">Key takeaway</w:t>
            </w:r>
          </w:p>
        </w:tc>
      </w:tr>
      <w:tr>
        <w:tc>
          <w:tcPr/>
          <w:p>
            <w:pPr>
              <w:pStyle w:val="Compact"/>
            </w:pPr>
            <w:r>
              <w:t xml:space="preserve">Revenue</w:t>
            </w:r>
          </w:p>
        </w:tc>
        <w:tc>
          <w:tcPr/>
          <w:p>
            <w:pPr>
              <w:pStyle w:val="Compact"/>
              <w:jc w:val="right"/>
            </w:pPr>
            <w:r>
              <w:t xml:space="preserve">$6.74B</w:t>
            </w:r>
          </w:p>
        </w:tc>
        <w:tc>
          <w:tcPr/>
          <w:p>
            <w:pPr>
              <w:pStyle w:val="Compact"/>
              <w:jc w:val="right"/>
            </w:pPr>
            <w:r>
              <w:t xml:space="preserve">$6.59B</w:t>
            </w:r>
          </w:p>
        </w:tc>
        <w:tc>
          <w:tcPr/>
          <w:p>
            <w:pPr>
              <w:pStyle w:val="Compact"/>
              <w:jc w:val="right"/>
            </w:pPr>
            <w:r>
              <w:t xml:space="preserve">$6.91B</w:t>
            </w:r>
          </w:p>
        </w:tc>
        <w:tc>
          <w:tcPr/>
          <w:p>
            <w:pPr>
              <w:pStyle w:val="Compact"/>
            </w:pPr>
            <w:r>
              <w:t xml:space="preserve">Above the prior $6.5B midpoint</w:t>
            </w:r>
          </w:p>
        </w:tc>
      </w:tr>
      <w:tr>
        <w:tc>
          <w:tcPr/>
          <w:p>
            <w:pPr>
              <w:pStyle w:val="Compact"/>
            </w:pPr>
            <w:r>
              <w:t xml:space="preserve">Adjusted EBITDA</w:t>
            </w:r>
          </w:p>
        </w:tc>
        <w:tc>
          <w:tcPr/>
          <w:p>
            <w:pPr>
              <w:pStyle w:val="Compact"/>
              <w:jc w:val="right"/>
            </w:pPr>
            <w:r>
              <w:t xml:space="preserve">$1.23B</w:t>
            </w:r>
          </w:p>
        </w:tc>
        <w:tc>
          <w:tcPr/>
          <w:p>
            <w:pPr>
              <w:pStyle w:val="Compact"/>
              <w:jc w:val="right"/>
            </w:pPr>
            <w:r>
              <w:t xml:space="preserve">$1.16B</w:t>
            </w:r>
          </w:p>
        </w:tc>
        <w:tc>
          <w:tcPr/>
          <w:p>
            <w:pPr>
              <w:pStyle w:val="Compact"/>
              <w:jc w:val="right"/>
            </w:pPr>
            <w:r>
              <w:t xml:space="preserve">$1.21B</w:t>
            </w:r>
          </w:p>
        </w:tc>
        <w:tc>
          <w:tcPr/>
          <w:p>
            <w:pPr>
              <w:pStyle w:val="Compact"/>
            </w:pPr>
            <w:r>
              <w:t xml:space="preserve">Roughly 9% above the prior $1.13B midpoint</w:t>
            </w:r>
          </w:p>
        </w:tc>
      </w:tr>
      <w:tr>
        <w:tc>
          <w:tcPr/>
          <w:p>
            <w:pPr>
              <w:pStyle w:val="Compact"/>
            </w:pPr>
            <w:r>
              <w:t xml:space="preserve">Adjusted EPS</w:t>
            </w:r>
          </w:p>
        </w:tc>
        <w:tc>
          <w:tcPr/>
          <w:p>
            <w:pPr>
              <w:pStyle w:val="Compact"/>
              <w:jc w:val="right"/>
            </w:pPr>
            <w:r>
              <w:t xml:space="preserve">$0.64</w:t>
            </w:r>
          </w:p>
        </w:tc>
        <w:tc>
          <w:tcPr/>
          <w:p>
            <w:pPr>
              <w:pStyle w:val="Compact"/>
              <w:jc w:val="right"/>
            </w:pPr>
            <w:r>
              <w:t xml:space="preserve">$0.58</w:t>
            </w:r>
          </w:p>
        </w:tc>
        <w:tc>
          <w:tcPr/>
          <w:p>
            <w:pPr>
              <w:pStyle w:val="Compact"/>
              <w:jc w:val="right"/>
            </w:pPr>
            <w:r>
              <w:t xml:space="preserve">$0.63</w:t>
            </w:r>
          </w:p>
        </w:tc>
        <w:tc>
          <w:tcPr/>
          <w:p>
            <w:pPr>
              <w:pStyle w:val="Compact"/>
            </w:pPr>
            <w:r>
              <w:t xml:space="preserve">Modest year-over-year growth</w:t>
            </w:r>
          </w:p>
        </w:tc>
      </w:tr>
      <w:tr>
        <w:tc>
          <w:tcPr/>
          <w:p>
            <w:pPr>
              <w:pStyle w:val="Compact"/>
            </w:pPr>
            <w:r>
              <w:t xml:space="preserve">Orders</w:t>
            </w:r>
          </w:p>
        </w:tc>
        <w:tc>
          <w:tcPr/>
          <w:p>
            <w:pPr>
              <w:pStyle w:val="Compact"/>
              <w:jc w:val="right"/>
            </w:pPr>
            <w:r>
              <w:t xml:space="preserve">$10.50B</w:t>
            </w:r>
          </w:p>
        </w:tc>
        <w:tc>
          <w:tcPr/>
          <w:p>
            <w:pPr>
              <w:pStyle w:val="Compact"/>
              <w:jc w:val="right"/>
            </w:pPr>
            <w:r>
              <w:t xml:space="preserve">$8.16B</w:t>
            </w:r>
          </w:p>
        </w:tc>
        <w:tc>
          <w:tcPr/>
          <w:p>
            <w:pPr>
              <w:pStyle w:val="Compact"/>
              <w:jc w:val="right"/>
            </w:pPr>
            <w:r>
              <w:t xml:space="preserve">$7.03B</w:t>
            </w:r>
          </w:p>
        </w:tc>
        <w:tc>
          <w:tcPr/>
          <w:p>
            <w:pPr>
              <w:pStyle w:val="Compact"/>
            </w:pPr>
            <w:r>
              <w:t xml:space="preserve">Up 49% year over year</w:t>
            </w:r>
          </w:p>
        </w:tc>
      </w:tr>
      <w:tr>
        <w:tc>
          <w:tcPr/>
          <w:p>
            <w:pPr>
              <w:pStyle w:val="Compact"/>
            </w:pPr>
            <w:r>
              <w:t xml:space="preserve">IET orders</w:t>
            </w:r>
          </w:p>
        </w:tc>
        <w:tc>
          <w:tcPr/>
          <w:p>
            <w:pPr>
              <w:pStyle w:val="Compact"/>
              <w:jc w:val="right"/>
            </w:pPr>
            <w:r>
              <w:t xml:space="preserve">$7.09B</w:t>
            </w:r>
          </w:p>
        </w:tc>
        <w:tc>
          <w:tcPr/>
          <w:p>
            <w:pPr>
              <w:pStyle w:val="Compact"/>
              <w:jc w:val="right"/>
            </w:pPr>
            <w:r>
              <w:t xml:space="preserve">$4.89B</w:t>
            </w:r>
          </w:p>
        </w:tc>
        <w:tc>
          <w:tcPr/>
          <w:p>
            <w:pPr>
              <w:pStyle w:val="Compact"/>
              <w:jc w:val="right"/>
            </w:pPr>
            <w:r>
              <w:t xml:space="preserve">$3.53B</w:t>
            </w:r>
          </w:p>
        </w:tc>
        <w:tc>
          <w:tcPr/>
          <w:p>
            <w:pPr>
              <w:pStyle w:val="Compact"/>
            </w:pPr>
            <w:r>
              <w:t xml:space="preserve">Doubled year over year</w:t>
            </w:r>
          </w:p>
        </w:tc>
      </w:tr>
      <w:tr>
        <w:tc>
          <w:tcPr/>
          <w:p>
            <w:pPr>
              <w:pStyle w:val="Compact"/>
            </w:pPr>
            <w:r>
              <w:t xml:space="preserve">Free cash flow</w:t>
            </w:r>
          </w:p>
        </w:tc>
        <w:tc>
          <w:tcPr/>
          <w:p>
            <w:pPr>
              <w:pStyle w:val="Compact"/>
              <w:jc w:val="right"/>
            </w:pPr>
            <w:r>
              <w:t xml:space="preserve">$1.11B</w:t>
            </w:r>
          </w:p>
        </w:tc>
        <w:tc>
          <w:tcPr/>
          <w:p>
            <w:pPr>
              <w:pStyle w:val="Compact"/>
              <w:jc w:val="right"/>
            </w:pPr>
            <w:r>
              <w:t xml:space="preserve">$210M</w:t>
            </w:r>
          </w:p>
        </w:tc>
        <w:tc>
          <w:tcPr/>
          <w:p>
            <w:pPr>
              <w:pStyle w:val="Compact"/>
              <w:jc w:val="right"/>
            </w:pPr>
            <w:r>
              <w:t xml:space="preserve">$239M</w:t>
            </w:r>
          </w:p>
        </w:tc>
        <w:tc>
          <w:tcPr/>
          <w:p>
            <w:pPr>
              <w:pStyle w:val="Compact"/>
            </w:pPr>
            <w:r>
              <w:t xml:space="preserve">Major improvement from Q1</w:t>
            </w:r>
          </w:p>
        </w:tc>
      </w:tr>
      <w:tr>
        <w:tc>
          <w:tcPr/>
          <w:p>
            <w:pPr>
              <w:pStyle w:val="Compact"/>
            </w:pPr>
            <w:r>
              <w:t xml:space="preserve">Total RPO</w:t>
            </w:r>
          </w:p>
        </w:tc>
        <w:tc>
          <w:tcPr/>
          <w:p>
            <w:pPr>
              <w:pStyle w:val="Compact"/>
              <w:jc w:val="right"/>
            </w:pPr>
            <w:r>
              <w:t xml:space="preserve">$40.1B</w:t>
            </w:r>
          </w:p>
        </w:tc>
        <w:tc>
          <w:tcPr/>
          <w:p>
            <w:pPr>
              <w:pStyle w:val="Compact"/>
              <w:jc w:val="right"/>
            </w:pPr>
            <w:r>
              <w:t xml:space="preserve">$36.1B</w:t>
            </w:r>
          </w:p>
        </w:tc>
        <w:tc>
          <w:tcPr/>
          <w:p>
            <w:pPr>
              <w:pStyle w:val="Compact"/>
              <w:jc w:val="right"/>
            </w:pPr>
            <w:r>
              <w:t xml:space="preserve">—</w:t>
            </w:r>
          </w:p>
        </w:tc>
        <w:tc>
          <w:tcPr/>
          <w:p>
            <w:pPr>
              <w:pStyle w:val="Compact"/>
            </w:pPr>
            <w:r>
              <w:t xml:space="preserve">Strong multiyear visibility</w:t>
            </w:r>
          </w:p>
        </w:tc>
      </w:tr>
      <w:tr>
        <w:tc>
          <w:tcPr/>
          <w:p>
            <w:pPr>
              <w:pStyle w:val="Compact"/>
            </w:pPr>
            <w:r>
              <w:t xml:space="preserve">IET RPO</w:t>
            </w:r>
          </w:p>
        </w:tc>
        <w:tc>
          <w:tcPr/>
          <w:p>
            <w:pPr>
              <w:pStyle w:val="Compact"/>
              <w:jc w:val="right"/>
            </w:pPr>
            <w:r>
              <w:t xml:space="preserve">$37.1B</w:t>
            </w:r>
          </w:p>
        </w:tc>
        <w:tc>
          <w:tcPr/>
          <w:p>
            <w:pPr>
              <w:pStyle w:val="Compact"/>
              <w:jc w:val="right"/>
            </w:pPr>
            <w:r>
              <w:t xml:space="preserve">$33.1B</w:t>
            </w:r>
          </w:p>
        </w:tc>
        <w:tc>
          <w:tcPr/>
          <w:p>
            <w:pPr>
              <w:pStyle w:val="Compact"/>
              <w:jc w:val="right"/>
            </w:pPr>
            <w:r>
              <w:t xml:space="preserve">—</w:t>
            </w:r>
          </w:p>
        </w:tc>
        <w:tc>
          <w:tcPr/>
          <w:p>
            <w:pPr>
              <w:pStyle w:val="Compact"/>
            </w:pPr>
            <w:r>
              <w:t xml:space="preserve">New record</w:t>
            </w:r>
          </w:p>
        </w:tc>
      </w:tr>
    </w:tbl>
    <w:p>
      <w:pPr>
        <w:pStyle w:val="BodyText"/>
      </w:pPr>
      <w:r>
        <w:t xml:space="preserve">The quarter was better than management’s April assumptions. Adjusted EBITDA of $1.231 billion exceeded the prior guidance midpoint by approximately</w:t>
      </w:r>
      <w:r>
        <w:t xml:space="preserve"> </w:t>
      </w:r>
      <w:r>
        <w:rPr>
          <w:b/>
          <w:bCs/>
        </w:rPr>
        <w:t xml:space="preserve">9%</w:t>
      </w:r>
      <w:r>
        <w:t xml:space="preserve">, with the upside primarily coming from OFSE and stronger activity and product shipments late in the quarter.</w:t>
      </w:r>
    </w:p>
    <w:p>
      <w:r>
        <w:pict>
          <v:rect style="width:0;height:1.5pt" o:hralign="center" o:hrstd="t" o:hr="t"/>
        </w:pict>
      </w:r>
    </w:p>
    <w:bookmarkEnd w:id="10"/>
    <w:bookmarkStart w:id="13" w:name="Xfbe60ee4970e309e3293fc7075875f497d0d008"/>
    <w:p>
      <w:pPr>
        <w:pStyle w:val="Heading2"/>
      </w:pPr>
      <w:r>
        <w:t xml:space="preserve">1. IET orders are the central investment issue</w:t>
      </w:r>
    </w:p>
    <w:p>
      <w:pPr>
        <w:pStyle w:val="FirstParagraph"/>
      </w:pPr>
      <w:r>
        <w:t xml:space="preserve">IET orders reached</w:t>
      </w:r>
      <w:r>
        <w:t xml:space="preserve"> </w:t>
      </w:r>
      <w:r>
        <w:rPr>
          <w:b/>
          <w:bCs/>
        </w:rPr>
        <w:t xml:space="preserve">$7.1 billion</w:t>
      </w:r>
      <w:r>
        <w:t xml:space="preserve">, up 101% year over year, with a</w:t>
      </w:r>
      <w:r>
        <w:t xml:space="preserve"> </w:t>
      </w:r>
      <w:r>
        <w:rPr>
          <w:b/>
          <w:bCs/>
        </w:rPr>
        <w:t xml:space="preserve">2.2x book-to-bill ratio</w:t>
      </w:r>
      <w:r>
        <w:t xml:space="preserve">. Gas Technology Equipment accounted for $4.9 billion of orders, reflecting strong LNG, data-center power and gas-infrastructure demand.</w:t>
      </w:r>
    </w:p>
    <w:p>
      <w:pPr>
        <w:pStyle w:val="BodyText"/>
      </w:pPr>
      <w:r>
        <w:t xml:space="preserve">For the first half, IET has already booked approximately</w:t>
      </w:r>
      <w:r>
        <w:t xml:space="preserve"> </w:t>
      </w:r>
      <w:r>
        <w:rPr>
          <w:b/>
          <w:bCs/>
        </w:rPr>
        <w:t xml:space="preserve">$12.0 billion</w:t>
      </w:r>
      <w:r>
        <w:t xml:space="preserve"> </w:t>
      </w:r>
      <w:r>
        <w:t xml:space="preserve">of orders. That is roughly 83% of the company’s original $14.5 billion full-year guidance midpoint.</w:t>
      </w:r>
    </w:p>
    <w:p>
      <w:pPr>
        <w:pStyle w:val="BodyText"/>
      </w:pPr>
      <w:r>
        <w:t xml:space="preserve">Management consequently:</w:t>
      </w:r>
    </w:p>
    <w:p>
      <w:pPr>
        <w:pStyle w:val="Compact"/>
        <w:numPr>
          <w:ilvl w:val="0"/>
          <w:numId w:val="1002"/>
        </w:numPr>
      </w:pPr>
      <w:r>
        <w:t xml:space="preserve">Raised its full-year IET order guidance, although the release did not provide the new range.</w:t>
      </w:r>
    </w:p>
    <w:p>
      <w:pPr>
        <w:pStyle w:val="Compact"/>
        <w:numPr>
          <w:ilvl w:val="0"/>
          <w:numId w:val="1002"/>
        </w:numPr>
      </w:pPr>
      <w:r>
        <w:t xml:space="preserve">Increased its 2026–2028, or “Horizon 2,” IET order target from more than $40 billion to</w:t>
      </w:r>
      <w:r>
        <w:t xml:space="preserve"> </w:t>
      </w:r>
      <w:r>
        <w:rPr>
          <w:b/>
          <w:bCs/>
        </w:rPr>
        <w:t xml:space="preserve">more than $45 billion</w:t>
      </w:r>
      <w:r>
        <w:t xml:space="preserve">.</w:t>
      </w:r>
    </w:p>
    <w:p>
      <w:pPr>
        <w:pStyle w:val="Compact"/>
        <w:numPr>
          <w:ilvl w:val="0"/>
          <w:numId w:val="1002"/>
        </w:numPr>
      </w:pPr>
      <w:r>
        <w:t xml:space="preserve">Announced plans for additional capacity expansion.</w:t>
      </w:r>
    </w:p>
    <w:p>
      <w:pPr>
        <w:pStyle w:val="FirstParagraph"/>
      </w:pPr>
      <w:r>
        <w:t xml:space="preserve">The call should clarify the revised 2026 range and whether the current order pace is sustainable rather than merely a function of several large projects landing in one quarter.</w:t>
      </w:r>
    </w:p>
    <w:bookmarkStart w:id="11" w:name="questions-that-matter"/>
    <w:p>
      <w:pPr>
        <w:pStyle w:val="Heading3"/>
      </w:pPr>
      <w:r>
        <w:t xml:space="preserve">Questions that matter</w:t>
      </w:r>
    </w:p>
    <w:p>
      <w:pPr>
        <w:pStyle w:val="Compact"/>
        <w:numPr>
          <w:ilvl w:val="0"/>
          <w:numId w:val="1003"/>
        </w:numPr>
      </w:pPr>
      <w:r>
        <w:t xml:space="preserve">What is the new full-year IET order range?</w:t>
      </w:r>
    </w:p>
    <w:p>
      <w:pPr>
        <w:pStyle w:val="Compact"/>
        <w:numPr>
          <w:ilvl w:val="0"/>
          <w:numId w:val="1003"/>
        </w:numPr>
      </w:pPr>
      <w:r>
        <w:t xml:space="preserve">How much of Q2 orders came with customer down payments or other commercial protections?</w:t>
      </w:r>
    </w:p>
    <w:p>
      <w:pPr>
        <w:pStyle w:val="Compact"/>
        <w:numPr>
          <w:ilvl w:val="0"/>
          <w:numId w:val="1003"/>
        </w:numPr>
      </w:pPr>
      <w:r>
        <w:t xml:space="preserve">What is the expected margin profile of the new backlog?</w:t>
      </w:r>
    </w:p>
    <w:p>
      <w:pPr>
        <w:pStyle w:val="Compact"/>
        <w:numPr>
          <w:ilvl w:val="0"/>
          <w:numId w:val="1003"/>
        </w:numPr>
      </w:pPr>
      <w:r>
        <w:t xml:space="preserve">How much of the order book is scheduled for delivery after 2028?</w:t>
      </w:r>
    </w:p>
    <w:p>
      <w:pPr>
        <w:pStyle w:val="Compact"/>
        <w:numPr>
          <w:ilvl w:val="0"/>
          <w:numId w:val="1003"/>
        </w:numPr>
      </w:pPr>
      <w:r>
        <w:t xml:space="preserve">Are customers signing firm equipment contracts, or do some bookings retain meaningful cancellation or project-financing risk?</w:t>
      </w:r>
    </w:p>
    <w:p>
      <w:pPr>
        <w:pStyle w:val="Compact"/>
        <w:numPr>
          <w:ilvl w:val="0"/>
          <w:numId w:val="1003"/>
        </w:numPr>
      </w:pPr>
      <w:r>
        <w:t xml:space="preserve">Has Baker Hughes tightened commercial standards as turbine availability has become scarce?</w:t>
      </w:r>
    </w:p>
    <w:bookmarkEnd w:id="11"/>
    <w:bookmarkStart w:id="12" w:name="why-investors-should-care"/>
    <w:p>
      <w:pPr>
        <w:pStyle w:val="Heading3"/>
      </w:pPr>
      <w:r>
        <w:t xml:space="preserve">Why investors should care</w:t>
      </w:r>
    </w:p>
    <w:p>
      <w:pPr>
        <w:pStyle w:val="FirstParagraph"/>
      </w:pPr>
      <w:r>
        <w:t xml:space="preserve">The order surge is strategically positive, but orders are not immediately equivalent to earnings. Manufacturing capacity, supply-chain execution, inflation protection and project timing will determine the eventual economics.</w:t>
      </w:r>
    </w:p>
    <w:p>
      <w:pPr>
        <w:pStyle w:val="BodyText"/>
      </w:pPr>
      <w:r>
        <w:t xml:space="preserve">IET revenue was actually down 2% sequentially in Q2, even as orders surged. That divergence is normal for long-cycle equipment, but it means the market will increasingly judge Baker Hughes on</w:t>
      </w:r>
      <w:r>
        <w:t xml:space="preserve"> </w:t>
      </w:r>
      <w:r>
        <w:rPr>
          <w:b/>
          <w:bCs/>
        </w:rPr>
        <w:t xml:space="preserve">backlog conversion and returns</w:t>
      </w:r>
      <w:r>
        <w:t xml:space="preserve">, not simply bookings.</w:t>
      </w:r>
    </w:p>
    <w:p>
      <w:r>
        <w:pict>
          <v:rect style="width:0;height:1.5pt" o:hralign="center" o:hrstd="t" o:hr="t"/>
        </w:pict>
      </w:r>
    </w:p>
    <w:bookmarkEnd w:id="12"/>
    <w:bookmarkEnd w:id="13"/>
    <w:bookmarkStart w:id="15" w:name="Xab0480fc545dd0375e339caa1c45d6581eae35f"/>
    <w:p>
      <w:pPr>
        <w:pStyle w:val="Heading2"/>
      </w:pPr>
      <w:r>
        <w:t xml:space="preserve">2. Power systems may be becoming BKR’s most important growth engine</w:t>
      </w:r>
    </w:p>
    <w:p>
      <w:pPr>
        <w:pStyle w:val="FirstParagraph"/>
      </w:pPr>
      <w:r>
        <w:t xml:space="preserve">Q2 awards included:</w:t>
      </w:r>
    </w:p>
    <w:p>
      <w:pPr>
        <w:pStyle w:val="Compact"/>
        <w:numPr>
          <w:ilvl w:val="0"/>
          <w:numId w:val="1004"/>
        </w:numPr>
      </w:pPr>
      <w:r>
        <w:rPr>
          <w:b/>
          <w:bCs/>
        </w:rPr>
        <w:t xml:space="preserve">76 NovaLT16 turbines</w:t>
      </w:r>
      <w:r>
        <w:t xml:space="preserve"> </w:t>
      </w:r>
      <w:r>
        <w:t xml:space="preserve">for Dynamis Power Solutions, representing approximately 1.3 GW.</w:t>
      </w:r>
    </w:p>
    <w:p>
      <w:pPr>
        <w:pStyle w:val="Compact"/>
        <w:numPr>
          <w:ilvl w:val="0"/>
          <w:numId w:val="1004"/>
        </w:numPr>
      </w:pPr>
      <w:r>
        <w:t xml:space="preserve">An initial award supporting</w:t>
      </w:r>
      <w:r>
        <w:t xml:space="preserve"> </w:t>
      </w:r>
      <w:r>
        <w:rPr>
          <w:b/>
          <w:bCs/>
        </w:rPr>
        <w:t xml:space="preserve">1 GW</w:t>
      </w:r>
      <w:r>
        <w:t xml:space="preserve"> </w:t>
      </w:r>
      <w:r>
        <w:t xml:space="preserve">for Kodiak Gas Services, with a framework for as much as 1.8 GW.</w:t>
      </w:r>
    </w:p>
    <w:p>
      <w:pPr>
        <w:pStyle w:val="Compact"/>
        <w:numPr>
          <w:ilvl w:val="0"/>
          <w:numId w:val="1004"/>
        </w:numPr>
      </w:pPr>
      <w:r>
        <w:t xml:space="preserve">LNG equipment awards from Venture Global, Cheniere and Golar.</w:t>
      </w:r>
    </w:p>
    <w:p>
      <w:pPr>
        <w:pStyle w:val="Compact"/>
        <w:numPr>
          <w:ilvl w:val="0"/>
          <w:numId w:val="1004"/>
        </w:numPr>
      </w:pPr>
      <w:r>
        <w:t xml:space="preserve">Compression awards for Middle East gas production and infrastructure.</w:t>
      </w:r>
    </w:p>
    <w:p>
      <w:pPr>
        <w:pStyle w:val="FirstParagraph"/>
      </w:pPr>
      <w:r>
        <w:t xml:space="preserve">Baker Hughes entered the year effectively sold out of current and planned NovaLT capacity through 2028. Management has now decided to expand capacity further.</w:t>
      </w:r>
    </w:p>
    <w:p>
      <w:pPr>
        <w:pStyle w:val="BodyText"/>
      </w:pPr>
      <w:r>
        <w:t xml:space="preserve">This is likely the most consequential discussion on the call.</w:t>
      </w:r>
    </w:p>
    <w:bookmarkStart w:id="14" w:name="what-investors-need-to-hear"/>
    <w:p>
      <w:pPr>
        <w:pStyle w:val="Heading3"/>
      </w:pPr>
      <w:r>
        <w:t xml:space="preserve">What investors need to hear</w:t>
      </w:r>
    </w:p>
    <w:p>
      <w:pPr>
        <w:pStyle w:val="FirstParagraph"/>
      </w:pPr>
      <w:r>
        <w:t xml:space="preserve">Management should quantify:</w:t>
      </w:r>
    </w:p>
    <w:p>
      <w:pPr>
        <w:pStyle w:val="Compact"/>
        <w:numPr>
          <w:ilvl w:val="0"/>
          <w:numId w:val="1005"/>
        </w:numPr>
      </w:pPr>
      <w:r>
        <w:t xml:space="preserve">The amount and timing of incremental capacity</w:t>
      </w:r>
    </w:p>
    <w:p>
      <w:pPr>
        <w:pStyle w:val="Compact"/>
        <w:numPr>
          <w:ilvl w:val="0"/>
          <w:numId w:val="1005"/>
        </w:numPr>
      </w:pPr>
      <w:r>
        <w:t xml:space="preserve">Required capital expenditure and working capital</w:t>
      </w:r>
    </w:p>
    <w:p>
      <w:pPr>
        <w:pStyle w:val="Compact"/>
        <w:numPr>
          <w:ilvl w:val="0"/>
          <w:numId w:val="1005"/>
        </w:numPr>
      </w:pPr>
      <w:r>
        <w:t xml:space="preserve">Expected revenue capacity once the expansion is complete</w:t>
      </w:r>
    </w:p>
    <w:p>
      <w:pPr>
        <w:pStyle w:val="Compact"/>
        <w:numPr>
          <w:ilvl w:val="0"/>
          <w:numId w:val="1005"/>
        </w:numPr>
      </w:pPr>
      <w:r>
        <w:t xml:space="preserve">Whether generators, compressors or other components could become bottlenecks</w:t>
      </w:r>
    </w:p>
    <w:p>
      <w:pPr>
        <w:pStyle w:val="Compact"/>
        <w:numPr>
          <w:ilvl w:val="0"/>
          <w:numId w:val="1005"/>
        </w:numPr>
      </w:pPr>
      <w:r>
        <w:t xml:space="preserve">Customer deposits and contractual protections</w:t>
      </w:r>
    </w:p>
    <w:p>
      <w:pPr>
        <w:pStyle w:val="Compact"/>
        <w:numPr>
          <w:ilvl w:val="0"/>
          <w:numId w:val="1005"/>
        </w:numPr>
      </w:pPr>
      <w:r>
        <w:t xml:space="preserve">Targeted returns on the expansion</w:t>
      </w:r>
    </w:p>
    <w:p>
      <w:pPr>
        <w:pStyle w:val="Compact"/>
        <w:numPr>
          <w:ilvl w:val="0"/>
          <w:numId w:val="1005"/>
        </w:numPr>
      </w:pPr>
      <w:r>
        <w:t xml:space="preserve">Whether expansion changes the company’s 2028 margin and cash-flow targets</w:t>
      </w:r>
    </w:p>
    <w:p>
      <w:pPr>
        <w:pStyle w:val="FirstParagraph"/>
      </w:pPr>
      <w:r>
        <w:t xml:space="preserve">The bull case is that Baker Hughes is evolving from an oilfield-services company into a broader supplier of scarce power and gas-infrastructure equipment, with a large future service opportunity attached to the installed base.</w:t>
      </w:r>
    </w:p>
    <w:p>
      <w:pPr>
        <w:pStyle w:val="BodyText"/>
      </w:pPr>
      <w:r>
        <w:t xml:space="preserve">The risk is that the company invests aggressively at a point of unusually strong data-center enthusiasm, only to face delays, grid constraints, customer financing problems or eventual overcapacity. Management’s comments regarding customer quality and order selectivity will therefore be important.</w:t>
      </w:r>
    </w:p>
    <w:p>
      <w:r>
        <w:pict>
          <v:rect style="width:0;height:1.5pt" o:hralign="center" o:hrstd="t" o:hr="t"/>
        </w:pict>
      </w:r>
    </w:p>
    <w:bookmarkEnd w:id="14"/>
    <w:bookmarkEnd w:id="15"/>
    <w:bookmarkStart w:id="16" w:name="X951e3fbb158d50ea0e07d1ec409d98b15270f66"/>
    <w:p>
      <w:pPr>
        <w:pStyle w:val="Heading2"/>
      </w:pPr>
      <w:r>
        <w:t xml:space="preserve">3. IET margins remain excellent, but backlog quality must carry the story</w:t>
      </w:r>
    </w:p>
    <w:p>
      <w:pPr>
        <w:pStyle w:val="FirstParagraph"/>
      </w:pPr>
      <w:r>
        <w:t xml:space="preserve">IET produced:</w:t>
      </w:r>
    </w:p>
    <w:p>
      <w:pPr>
        <w:pStyle w:val="Compact"/>
        <w:numPr>
          <w:ilvl w:val="0"/>
          <w:numId w:val="1006"/>
        </w:numPr>
      </w:pPr>
      <w:r>
        <w:t xml:space="preserve">Revenue of</w:t>
      </w:r>
      <w:r>
        <w:t xml:space="preserve"> </w:t>
      </w:r>
      <w:r>
        <w:rPr>
          <w:b/>
          <w:bCs/>
        </w:rPr>
        <w:t xml:space="preserve">$3.29 billion</w:t>
      </w:r>
    </w:p>
    <w:p>
      <w:pPr>
        <w:pStyle w:val="Compact"/>
        <w:numPr>
          <w:ilvl w:val="0"/>
          <w:numId w:val="1006"/>
        </w:numPr>
      </w:pPr>
      <w:r>
        <w:t xml:space="preserve">EBITDA of</w:t>
      </w:r>
      <w:r>
        <w:t xml:space="preserve"> </w:t>
      </w:r>
      <w:r>
        <w:rPr>
          <w:b/>
          <w:bCs/>
        </w:rPr>
        <w:t xml:space="preserve">$678 million</w:t>
      </w:r>
    </w:p>
    <w:p>
      <w:pPr>
        <w:pStyle w:val="Compact"/>
        <w:numPr>
          <w:ilvl w:val="0"/>
          <w:numId w:val="1006"/>
        </w:numPr>
      </w:pPr>
      <w:r>
        <w:t xml:space="preserve">EBITDA margin of</w:t>
      </w:r>
      <w:r>
        <w:t xml:space="preserve"> </w:t>
      </w:r>
      <w:r>
        <w:rPr>
          <w:b/>
          <w:bCs/>
        </w:rPr>
        <w:t xml:space="preserve">20.6%</w:t>
      </w:r>
    </w:p>
    <w:p>
      <w:pPr>
        <w:pStyle w:val="FirstParagraph"/>
      </w:pPr>
      <w:r>
        <w:t xml:space="preserve">Revenue was essentially flat year over year, but EBITDA increased 16% and margin expanded 280 basis points. Pricing, productivity, cost reductions and foreign exchange more than offset inflation and lower volume.</w:t>
      </w:r>
    </w:p>
    <w:p>
      <w:pPr>
        <w:pStyle w:val="BodyText"/>
      </w:pPr>
      <w:r>
        <w:t xml:space="preserve">This supports management’s argument that the Baker Hughes Business System and improved backlog pricing are structurally lifting profitability.</w:t>
      </w:r>
    </w:p>
    <w:p>
      <w:pPr>
        <w:pStyle w:val="BodyText"/>
      </w:pPr>
      <w:r>
        <w:t xml:space="preserve">The key question is whether 20%-plus margins are sustainable as the business moves into a heavier production and capacity-expansion phase. Large equipment programs can create near-term mix and execution pressure before the higher-margin aftermarket opportunity develops.</w:t>
      </w:r>
    </w:p>
    <w:p>
      <w:pPr>
        <w:pStyle w:val="BodyText"/>
      </w:pPr>
      <w:r>
        <w:t xml:space="preserve">Management previously targeted approximately $2.7 billion of full-year IET EBITDA. After generating $1.36 billion in the first half, the company is essentially halfway there, despite revenue conversion remaining relatively subdued.</w:t>
      </w:r>
    </w:p>
    <w:p>
      <w:r>
        <w:pict>
          <v:rect style="width:0;height:1.5pt" o:hralign="center" o:hrstd="t" o:hr="t"/>
        </w:pict>
      </w:r>
    </w:p>
    <w:bookmarkEnd w:id="16"/>
    <w:bookmarkStart w:id="18" w:name="X6699a52c8f93fc4bacb8d9824253982f1fa5092"/>
    <w:p>
      <w:pPr>
        <w:pStyle w:val="Heading2"/>
      </w:pPr>
      <w:r>
        <w:t xml:space="preserve">4. OFSE was better than feared</w:t>
      </w:r>
    </w:p>
    <w:p>
      <w:pPr>
        <w:pStyle w:val="FirstParagraph"/>
      </w:pPr>
      <w:r>
        <w:t xml:space="preserve">OFSE results were a notable positive: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OFSE metric</w:t>
            </w:r>
          </w:p>
        </w:tc>
        <w:tc>
          <w:tcPr/>
          <w:p>
            <w:pPr>
              <w:pStyle w:val="Compact"/>
              <w:jc w:val="right"/>
            </w:pPr>
            <w:r>
              <w:t xml:space="preserve">Q2 2026</w:t>
            </w:r>
          </w:p>
        </w:tc>
        <w:tc>
          <w:tcPr/>
          <w:p>
            <w:pPr>
              <w:pStyle w:val="Compact"/>
              <w:jc w:val="right"/>
            </w:pPr>
            <w:r>
              <w:t xml:space="preserve">Sequential change</w:t>
            </w:r>
          </w:p>
        </w:tc>
        <w:tc>
          <w:tcPr/>
          <w:p>
            <w:pPr>
              <w:pStyle w:val="Compact"/>
              <w:jc w:val="right"/>
            </w:pPr>
            <w:r>
              <w:t xml:space="preserve">Year-over-year change</w:t>
            </w:r>
          </w:p>
        </w:tc>
      </w:tr>
      <w:tr>
        <w:tc>
          <w:tcPr/>
          <w:p>
            <w:pPr>
              <w:pStyle w:val="Compact"/>
            </w:pPr>
            <w:r>
              <w:t xml:space="preserve">Revenue</w:t>
            </w:r>
          </w:p>
        </w:tc>
        <w:tc>
          <w:tcPr/>
          <w:p>
            <w:pPr>
              <w:pStyle w:val="Compact"/>
              <w:jc w:val="right"/>
            </w:pPr>
            <w:r>
              <w:t xml:space="preserve">$3.45B</w:t>
            </w:r>
          </w:p>
        </w:tc>
        <w:tc>
          <w:tcPr/>
          <w:p>
            <w:pPr>
              <w:pStyle w:val="Compact"/>
              <w:jc w:val="right"/>
            </w:pPr>
            <w:r>
              <w:t xml:space="preserve">+7%</w:t>
            </w:r>
          </w:p>
        </w:tc>
        <w:tc>
          <w:tcPr/>
          <w:p>
            <w:pPr>
              <w:pStyle w:val="Compact"/>
              <w:jc w:val="right"/>
            </w:pPr>
            <w:r>
              <w:t xml:space="preserve">-5%</w:t>
            </w:r>
          </w:p>
        </w:tc>
      </w:tr>
      <w:tr>
        <w:tc>
          <w:tcPr/>
          <w:p>
            <w:pPr>
              <w:pStyle w:val="Compact"/>
            </w:pPr>
            <w:r>
              <w:t xml:space="preserve">EBITDA</w:t>
            </w:r>
          </w:p>
        </w:tc>
        <w:tc>
          <w:tcPr/>
          <w:p>
            <w:pPr>
              <w:pStyle w:val="Compact"/>
              <w:jc w:val="right"/>
            </w:pPr>
            <w:r>
              <w:t xml:space="preserve">$605M</w:t>
            </w:r>
          </w:p>
        </w:tc>
        <w:tc>
          <w:tcPr/>
          <w:p>
            <w:pPr>
              <w:pStyle w:val="Compact"/>
              <w:jc w:val="right"/>
            </w:pPr>
            <w:r>
              <w:t xml:space="preserve">+7%</w:t>
            </w:r>
          </w:p>
        </w:tc>
        <w:tc>
          <w:tcPr/>
          <w:p>
            <w:pPr>
              <w:pStyle w:val="Compact"/>
              <w:jc w:val="right"/>
            </w:pPr>
            <w:r>
              <w:t xml:space="preserve">-11%</w:t>
            </w:r>
          </w:p>
        </w:tc>
      </w:tr>
      <w:tr>
        <w:tc>
          <w:tcPr/>
          <w:p>
            <w:pPr>
              <w:pStyle w:val="Compact"/>
            </w:pPr>
            <w:r>
              <w:t xml:space="preserve">EBITDA margin</w:t>
            </w:r>
          </w:p>
        </w:tc>
        <w:tc>
          <w:tcPr/>
          <w:p>
            <w:pPr>
              <w:pStyle w:val="Compact"/>
              <w:jc w:val="right"/>
            </w:pPr>
            <w:r>
              <w:t xml:space="preserve">17.5%</w:t>
            </w:r>
          </w:p>
        </w:tc>
        <w:tc>
          <w:tcPr/>
          <w:p>
            <w:pPr>
              <w:pStyle w:val="Compact"/>
              <w:jc w:val="right"/>
            </w:pPr>
            <w:r>
              <w:t xml:space="preserve">+10 bps</w:t>
            </w:r>
          </w:p>
        </w:tc>
        <w:tc>
          <w:tcPr/>
          <w:p>
            <w:pPr>
              <w:pStyle w:val="Compact"/>
              <w:jc w:val="right"/>
            </w:pPr>
            <w:r>
              <w:t xml:space="preserve">-120 bps</w:t>
            </w:r>
          </w:p>
        </w:tc>
      </w:tr>
      <w:tr>
        <w:tc>
          <w:tcPr/>
          <w:p>
            <w:pPr>
              <w:pStyle w:val="Compact"/>
            </w:pPr>
            <w:r>
              <w:t xml:space="preserve">Orders</w:t>
            </w:r>
          </w:p>
        </w:tc>
        <w:tc>
          <w:tcPr/>
          <w:p>
            <w:pPr>
              <w:pStyle w:val="Compact"/>
              <w:jc w:val="right"/>
            </w:pPr>
            <w:r>
              <w:t xml:space="preserve">$3.41B</w:t>
            </w:r>
          </w:p>
        </w:tc>
        <w:tc>
          <w:tcPr/>
          <w:p>
            <w:pPr>
              <w:pStyle w:val="Compact"/>
              <w:jc w:val="right"/>
            </w:pPr>
            <w:r>
              <w:t xml:space="preserve">+4%</w:t>
            </w:r>
          </w:p>
        </w:tc>
        <w:tc>
          <w:tcPr/>
          <w:p>
            <w:pPr>
              <w:pStyle w:val="Compact"/>
              <w:jc w:val="right"/>
            </w:pPr>
            <w:r>
              <w:t xml:space="preserve">-3%</w:t>
            </w:r>
          </w:p>
        </w:tc>
      </w:tr>
    </w:tbl>
    <w:p>
      <w:pPr>
        <w:pStyle w:val="BodyText"/>
      </w:pPr>
      <w:r>
        <w:t xml:space="preserve">Management had guided to approximately $3.2 billion of revenue and $540 million of EBITDA, meaning OFSE delivered substantial upside. Latin America revenue increased 22% sequentially, while Middle East/Asia revenue rose 6% despite continued regional disruptions.</w:t>
      </w:r>
    </w:p>
    <w:p>
      <w:pPr>
        <w:pStyle w:val="BodyText"/>
      </w:pPr>
      <w:r>
        <w:t xml:space="preserve">The result suggests activity and product shipments recovered faster than assumed late in the quarter.</w:t>
      </w:r>
    </w:p>
    <w:bookmarkStart w:id="17" w:name="mondays-key-ofse-questions"/>
    <w:p>
      <w:pPr>
        <w:pStyle w:val="Heading3"/>
      </w:pPr>
      <w:r>
        <w:t xml:space="preserve">Monday’s key OFSE questions</w:t>
      </w:r>
    </w:p>
    <w:p>
      <w:pPr>
        <w:pStyle w:val="Compact"/>
        <w:numPr>
          <w:ilvl w:val="0"/>
          <w:numId w:val="1007"/>
        </w:numPr>
      </w:pPr>
      <w:r>
        <w:t xml:space="preserve">Did the June improvement continue into July?</w:t>
      </w:r>
    </w:p>
    <w:p>
      <w:pPr>
        <w:pStyle w:val="Compact"/>
        <w:numPr>
          <w:ilvl w:val="0"/>
          <w:numId w:val="1007"/>
        </w:numPr>
      </w:pPr>
      <w:r>
        <w:t xml:space="preserve">Is the Middle East recovery sustainable, or did Q2 benefit from temporarily clearing delayed shipments?</w:t>
      </w:r>
    </w:p>
    <w:p>
      <w:pPr>
        <w:pStyle w:val="Compact"/>
        <w:numPr>
          <w:ilvl w:val="0"/>
          <w:numId w:val="1007"/>
        </w:numPr>
      </w:pPr>
      <w:r>
        <w:t xml:space="preserve">How much inflation is flowing through the segment?</w:t>
      </w:r>
    </w:p>
    <w:p>
      <w:pPr>
        <w:pStyle w:val="Compact"/>
        <w:numPr>
          <w:ilvl w:val="0"/>
          <w:numId w:val="1007"/>
        </w:numPr>
      </w:pPr>
      <w:r>
        <w:t xml:space="preserve">Can pricing and cost reductions offset inflation during the second half?</w:t>
      </w:r>
    </w:p>
    <w:p>
      <w:pPr>
        <w:pStyle w:val="Compact"/>
        <w:numPr>
          <w:ilvl w:val="0"/>
          <w:numId w:val="1007"/>
        </w:numPr>
      </w:pPr>
      <w:r>
        <w:t xml:space="preserve">Does management still expect OFSE to reach the low end, midpoint or potentially better than its original full-year EBITDA range?</w:t>
      </w:r>
    </w:p>
    <w:p>
      <w:pPr>
        <w:pStyle w:val="Compact"/>
        <w:numPr>
          <w:ilvl w:val="0"/>
          <w:numId w:val="1007"/>
        </w:numPr>
      </w:pPr>
      <w:r>
        <w:t xml:space="preserve">How strong is the outlook for Latin America, deepwater and subsea activity?</w:t>
      </w:r>
    </w:p>
    <w:p>
      <w:pPr>
        <w:pStyle w:val="FirstParagraph"/>
      </w:pPr>
      <w:r>
        <w:t xml:space="preserve">OFSE remains the more cyclical and uncertain part of the portfolio. However, the quarter demonstrates that the business can protect mid-to-high-teens margins even under difficult conditions.</w:t>
      </w:r>
    </w:p>
    <w:p>
      <w:r>
        <w:pict>
          <v:rect style="width:0;height:1.5pt" o:hralign="center" o:hrstd="t" o:hr="t"/>
        </w:pict>
      </w:r>
    </w:p>
    <w:bookmarkEnd w:id="17"/>
    <w:bookmarkEnd w:id="18"/>
    <w:bookmarkStart w:id="20" w:name="X2a33e74bd6bae65377ff4f4d69e09dc407afe0c"/>
    <w:p>
      <w:pPr>
        <w:pStyle w:val="Heading2"/>
      </w:pPr>
      <w:r>
        <w:t xml:space="preserve">5. Chart guidance is the biggest missing piece</w:t>
      </w:r>
    </w:p>
    <w:p>
      <w:pPr>
        <w:pStyle w:val="FirstParagraph"/>
      </w:pPr>
      <w:r>
        <w:t xml:space="preserve">Baker Hughes completed its acquisition of Chart Industries on</w:t>
      </w:r>
      <w:r>
        <w:t xml:space="preserve"> </w:t>
      </w:r>
      <w:r>
        <w:rPr>
          <w:b/>
          <w:bCs/>
        </w:rPr>
        <w:t xml:space="preserve">July 16, 2026</w:t>
      </w:r>
      <w:r>
        <w:t xml:space="preserve">. Chart will become a third reporting segment and adds thermal-management, air- and gas-handling, compression and lifecycle-service capabilities.</w:t>
      </w:r>
    </w:p>
    <w:p>
      <w:pPr>
        <w:pStyle w:val="BodyText"/>
      </w:pPr>
      <w:r>
        <w:t xml:space="preserve">Baker Hughes continues to target:</w:t>
      </w:r>
    </w:p>
    <w:p>
      <w:pPr>
        <w:pStyle w:val="Compact"/>
        <w:numPr>
          <w:ilvl w:val="0"/>
          <w:numId w:val="1008"/>
        </w:numPr>
      </w:pPr>
      <w:r>
        <w:rPr>
          <w:b/>
          <w:bCs/>
        </w:rPr>
        <w:t xml:space="preserve">$325 million of annualized cost synergies by year three</w:t>
      </w:r>
    </w:p>
    <w:p>
      <w:pPr>
        <w:pStyle w:val="Compact"/>
        <w:numPr>
          <w:ilvl w:val="0"/>
          <w:numId w:val="1008"/>
        </w:numPr>
      </w:pPr>
      <w:r>
        <w:t xml:space="preserve">Additional, unquantified commercial synergies</w:t>
      </w:r>
    </w:p>
    <w:p>
      <w:pPr>
        <w:pStyle w:val="Compact"/>
        <w:numPr>
          <w:ilvl w:val="0"/>
          <w:numId w:val="1008"/>
        </w:numPr>
      </w:pPr>
      <w:r>
        <w:t xml:space="preserve">Net leverage of</w:t>
      </w:r>
      <w:r>
        <w:t xml:space="preserve"> </w:t>
      </w:r>
      <w:r>
        <w:rPr>
          <w:b/>
          <w:bCs/>
        </w:rPr>
        <w:t xml:space="preserve">1.0–1.5x within 24 months</w:t>
      </w:r>
    </w:p>
    <w:p>
      <w:pPr>
        <w:pStyle w:val="FirstParagraph"/>
      </w:pPr>
      <w:r>
        <w:t xml:space="preserve">The Q2 results exclude Chart, and the earnings release did not provide comprehensive combined-company guidance for the balance of 2026. Management had previously said it would update guidance after the transaction closed, making this the most obvious subject for the call.</w:t>
      </w:r>
    </w:p>
    <w:bookmarkStart w:id="19" w:name="what-to-expect"/>
    <w:p>
      <w:pPr>
        <w:pStyle w:val="Heading3"/>
      </w:pPr>
      <w:r>
        <w:t xml:space="preserve">What to expect</w:t>
      </w:r>
    </w:p>
    <w:p>
      <w:pPr>
        <w:pStyle w:val="FirstParagraph"/>
      </w:pPr>
      <w:r>
        <w:t xml:space="preserve">Investors should look for:</w:t>
      </w:r>
    </w:p>
    <w:p>
      <w:pPr>
        <w:pStyle w:val="Compact"/>
        <w:numPr>
          <w:ilvl w:val="0"/>
          <w:numId w:val="1009"/>
        </w:numPr>
      </w:pPr>
      <w:r>
        <w:t xml:space="preserve">Pro forma 2026 revenue and EBITDA guidance</w:t>
      </w:r>
    </w:p>
    <w:p>
      <w:pPr>
        <w:pStyle w:val="Compact"/>
        <w:numPr>
          <w:ilvl w:val="0"/>
          <w:numId w:val="1009"/>
        </w:numPr>
      </w:pPr>
      <w:r>
        <w:t xml:space="preserve">Chart’s expected contribution from July 16 through year-end</w:t>
      </w:r>
    </w:p>
    <w:p>
      <w:pPr>
        <w:pStyle w:val="Compact"/>
        <w:numPr>
          <w:ilvl w:val="0"/>
          <w:numId w:val="1009"/>
        </w:numPr>
      </w:pPr>
      <w:r>
        <w:t xml:space="preserve">Acquisition-related interest expense and purchase-accounting effects</w:t>
      </w:r>
    </w:p>
    <w:p>
      <w:pPr>
        <w:pStyle w:val="Compact"/>
        <w:numPr>
          <w:ilvl w:val="0"/>
          <w:numId w:val="1009"/>
        </w:numPr>
      </w:pPr>
      <w:r>
        <w:t xml:space="preserve">Integration and restructuring costs</w:t>
      </w:r>
    </w:p>
    <w:p>
      <w:pPr>
        <w:pStyle w:val="Compact"/>
        <w:numPr>
          <w:ilvl w:val="0"/>
          <w:numId w:val="1009"/>
        </w:numPr>
      </w:pPr>
      <w:r>
        <w:t xml:space="preserve">The timing of the first $325 million of cost synergies</w:t>
      </w:r>
    </w:p>
    <w:p>
      <w:pPr>
        <w:pStyle w:val="Compact"/>
        <w:numPr>
          <w:ilvl w:val="0"/>
          <w:numId w:val="1009"/>
        </w:numPr>
      </w:pPr>
      <w:r>
        <w:t xml:space="preserve">Post-close leverage and debt-reduction priorities</w:t>
      </w:r>
    </w:p>
    <w:p>
      <w:pPr>
        <w:pStyle w:val="Compact"/>
        <w:numPr>
          <w:ilvl w:val="0"/>
          <w:numId w:val="1009"/>
        </w:numPr>
      </w:pPr>
      <w:r>
        <w:t xml:space="preserve">The extent of commercial synergies across LNG, data centers, nuclear, carbon capture and geothermal</w:t>
      </w:r>
    </w:p>
    <w:p>
      <w:pPr>
        <w:pStyle w:val="FirstParagraph"/>
      </w:pPr>
      <w:r>
        <w:t xml:space="preserve">A credible integration roadmap may matter more to the stock than a modest adjustment to standalone BKR guidance.</w:t>
      </w:r>
    </w:p>
    <w:p>
      <w:r>
        <w:pict>
          <v:rect style="width:0;height:1.5pt" o:hralign="center" o:hrstd="t" o:hr="t"/>
        </w:pict>
      </w:r>
    </w:p>
    <w:bookmarkEnd w:id="19"/>
    <w:bookmarkEnd w:id="20"/>
    <w:bookmarkStart w:id="21" w:name="X60116603003a2491d20dfffc56a9ca6501ee9db"/>
    <w:p>
      <w:pPr>
        <w:pStyle w:val="Heading2"/>
      </w:pPr>
      <w:r>
        <w:t xml:space="preserve">6. Cash flow was a clear positive</w:t>
      </w:r>
    </w:p>
    <w:p>
      <w:pPr>
        <w:pStyle w:val="FirstParagraph"/>
      </w:pPr>
      <w:r>
        <w:t xml:space="preserve">Free cash flow improved from</w:t>
      </w:r>
      <w:r>
        <w:t xml:space="preserve"> </w:t>
      </w:r>
      <m:oMath>
        <m:r>
          <m:t>210</m:t>
        </m:r>
        <m:r>
          <m:t>m</m:t>
        </m:r>
        <m:r>
          <m:t>i</m:t>
        </m:r>
        <m:r>
          <m:t>l</m:t>
        </m:r>
        <m:r>
          <m:t>l</m:t>
        </m:r>
        <m:r>
          <m:t>i</m:t>
        </m:r>
        <m:r>
          <m:t>o</m:t>
        </m:r>
        <m:r>
          <m:t>n</m:t>
        </m:r>
        <m:r>
          <m:t>i</m:t>
        </m:r>
        <m:r>
          <m:t>n</m:t>
        </m:r>
        <m:r>
          <m:t>Q</m:t>
        </m:r>
        <m:r>
          <m:t>1</m:t>
        </m:r>
        <m:r>
          <m:t>t</m:t>
        </m:r>
        <m:r>
          <m:t>o</m:t>
        </m:r>
        <m:r>
          <m:rPr>
            <m:sty m:val="p"/>
          </m:rPr>
          <m:t>*</m:t>
        </m:r>
        <m:r>
          <m:rPr>
            <m:sty m:val="p"/>
          </m:rPr>
          <m:t>*</m:t>
        </m:r>
      </m:oMath>
      <w:r>
        <w:t xml:space="preserve">1.11 billion in Q2**, taking first-half free cash flow to approximately</w:t>
      </w:r>
      <w:r>
        <w:t xml:space="preserve"> </w:t>
      </w:r>
      <w:r>
        <w:rPr>
          <w:b/>
          <w:bCs/>
        </w:rPr>
        <w:t xml:space="preserve">$1.32 billion</w:t>
      </w:r>
      <w:r>
        <w:t xml:space="preserve">.</w:t>
      </w:r>
    </w:p>
    <w:p>
      <w:pPr>
        <w:pStyle w:val="BodyText"/>
      </w:pPr>
      <w:r>
        <w:t xml:space="preserve">The Q2 result benefited from a $523 million working-capital contribution, so investors should not annualize the quarterly number mechanically. Nevertheless, it addresses the weak Q1 cash conversion and gives Baker Hughes more flexibility as it absorbs Chart.</w:t>
      </w:r>
    </w:p>
    <w:p>
      <w:pPr>
        <w:pStyle w:val="BodyText"/>
      </w:pPr>
      <w:r>
        <w:t xml:space="preserve">The call should clarify:</w:t>
      </w:r>
    </w:p>
    <w:p>
      <w:pPr>
        <w:pStyle w:val="Compact"/>
        <w:numPr>
          <w:ilvl w:val="0"/>
          <w:numId w:val="1010"/>
        </w:numPr>
      </w:pPr>
      <w:r>
        <w:t xml:space="preserve">The full-year free-cash-flow outlook for the combined company</w:t>
      </w:r>
    </w:p>
    <w:p>
      <w:pPr>
        <w:pStyle w:val="Compact"/>
        <w:numPr>
          <w:ilvl w:val="0"/>
          <w:numId w:val="1010"/>
        </w:numPr>
      </w:pPr>
      <w:r>
        <w:t xml:space="preserve">How much of the Q2 working-capital benefit came from customer advances</w:t>
      </w:r>
    </w:p>
    <w:p>
      <w:pPr>
        <w:pStyle w:val="Compact"/>
        <w:numPr>
          <w:ilvl w:val="0"/>
          <w:numId w:val="1010"/>
        </w:numPr>
      </w:pPr>
      <w:r>
        <w:t xml:space="preserve">Chart integration and restructuring cash costs</w:t>
      </w:r>
    </w:p>
    <w:p>
      <w:pPr>
        <w:pStyle w:val="Compact"/>
        <w:numPr>
          <w:ilvl w:val="0"/>
          <w:numId w:val="1010"/>
        </w:numPr>
      </w:pPr>
      <w:r>
        <w:t xml:space="preserve">Whether share repurchases remain paused while debt is reduced</w:t>
      </w:r>
    </w:p>
    <w:p>
      <w:pPr>
        <w:pStyle w:val="Compact"/>
        <w:numPr>
          <w:ilvl w:val="0"/>
          <w:numId w:val="1010"/>
        </w:numPr>
      </w:pPr>
      <w:r>
        <w:t xml:space="preserve">The timing of the pending $1.45 billion Waygate disposition</w:t>
      </w:r>
    </w:p>
    <w:p>
      <w:pPr>
        <w:pStyle w:val="FirstParagraph"/>
      </w:pPr>
      <w:r>
        <w:t xml:space="preserve">For the near term, debt reduction is likely to take priority over buybacks.</w:t>
      </w:r>
    </w:p>
    <w:p>
      <w:r>
        <w:pict>
          <v:rect style="width:0;height:1.5pt" o:hralign="center" o:hrstd="t" o:hr="t"/>
        </w:pict>
      </w:r>
    </w:p>
    <w:bookmarkEnd w:id="21"/>
    <w:bookmarkStart w:id="22" w:name="X11169e14a262f141a9cb6f5afcf3ad02af20138"/>
    <w:p>
      <w:pPr>
        <w:pStyle w:val="Heading2"/>
      </w:pPr>
      <w:r>
        <w:t xml:space="preserve">7. Stock setup</w:t>
      </w:r>
    </w:p>
    <w:p>
      <w:pPr>
        <w:pStyle w:val="FirstParagraph"/>
      </w:pPr>
      <w:r>
        <w:t xml:space="preserve">BKR closed at</w:t>
      </w:r>
      <w:r>
        <w:t xml:space="preserve"> </w:t>
      </w:r>
      <w:r>
        <w:rPr>
          <w:b/>
          <w:bCs/>
        </w:rPr>
        <w:t xml:space="preserve">$57.27 on July 24</w:t>
      </w:r>
      <w:r>
        <w:t xml:space="preserve">, down approximately 17% from its April 24 post-Q1 close of $68.94. The decline suggests the valuation and expectations entering the release were less demanding than they had been after Q1.</w:t>
      </w:r>
    </w:p>
    <w:p>
      <w:pPr>
        <w:pStyle w:val="BodyText"/>
      </w:pPr>
      <w:r>
        <w:t xml:space="preserve">The Sunday release contains enough positive elements—particularly EBITDA, orders and cash flow—to support a favorable initial reaction. But the eventual move will likely depend on Monday’s guidance rather than the backward-looking results.</w:t>
      </w:r>
    </w:p>
    <w:p>
      <w:r>
        <w:pict>
          <v:rect style="width:0;height:1.5pt" o:hralign="center" o:hrstd="t" o:hr="t"/>
        </w:pict>
      </w:r>
    </w:p>
    <w:bookmarkEnd w:id="22"/>
    <w:bookmarkStart w:id="26" w:name="bull-base-and-bear-interpretations"/>
    <w:p>
      <w:pPr>
        <w:pStyle w:val="Heading2"/>
      </w:pPr>
      <w:r>
        <w:t xml:space="preserve">Bull, base and bear interpretations</w:t>
      </w:r>
    </w:p>
    <w:bookmarkStart w:id="23" w:name="bull-case"/>
    <w:p>
      <w:pPr>
        <w:pStyle w:val="Heading3"/>
      </w:pPr>
      <w:r>
        <w:t xml:space="preserve">Bull case</w:t>
      </w:r>
    </w:p>
    <w:p>
      <w:pPr>
        <w:pStyle w:val="Compact"/>
        <w:numPr>
          <w:ilvl w:val="0"/>
          <w:numId w:val="1011"/>
        </w:numPr>
      </w:pPr>
      <w:r>
        <w:t xml:space="preserve">IET orders prove durable and revised 2026 guidance is materially above the old range.</w:t>
      </w:r>
    </w:p>
    <w:p>
      <w:pPr>
        <w:pStyle w:val="Compact"/>
        <w:numPr>
          <w:ilvl w:val="0"/>
          <w:numId w:val="1011"/>
        </w:numPr>
      </w:pPr>
      <w:r>
        <w:t xml:space="preserve">Capacity expansion is supported by firm contracts, customer advances and attractive returns.</w:t>
      </w:r>
    </w:p>
    <w:p>
      <w:pPr>
        <w:pStyle w:val="Compact"/>
        <w:numPr>
          <w:ilvl w:val="0"/>
          <w:numId w:val="1011"/>
        </w:numPr>
      </w:pPr>
      <w:r>
        <w:t xml:space="preserve">IET sustains margins above 20% while converting backlog.</w:t>
      </w:r>
    </w:p>
    <w:p>
      <w:pPr>
        <w:pStyle w:val="Compact"/>
        <w:numPr>
          <w:ilvl w:val="0"/>
          <w:numId w:val="1011"/>
        </w:numPr>
      </w:pPr>
      <w:r>
        <w:t xml:space="preserve">Middle East activity continues to normalize.</w:t>
      </w:r>
    </w:p>
    <w:p>
      <w:pPr>
        <w:pStyle w:val="Compact"/>
        <w:numPr>
          <w:ilvl w:val="0"/>
          <w:numId w:val="1011"/>
        </w:numPr>
      </w:pPr>
      <w:r>
        <w:t xml:space="preserve">Chart integration begins cleanly, with early cost synergies and manageable leverage.</w:t>
      </w:r>
    </w:p>
    <w:p>
      <w:pPr>
        <w:pStyle w:val="Compact"/>
        <w:numPr>
          <w:ilvl w:val="0"/>
          <w:numId w:val="1011"/>
        </w:numPr>
      </w:pPr>
      <w:r>
        <w:t xml:space="preserve">Strong free cash flow supports rapid debt reduction.</w:t>
      </w:r>
    </w:p>
    <w:bookmarkEnd w:id="23"/>
    <w:bookmarkStart w:id="24" w:name="base-case"/>
    <w:p>
      <w:pPr>
        <w:pStyle w:val="Heading3"/>
      </w:pPr>
      <w:r>
        <w:t xml:space="preserve">Base case</w:t>
      </w:r>
    </w:p>
    <w:p>
      <w:pPr>
        <w:pStyle w:val="Compact"/>
        <w:numPr>
          <w:ilvl w:val="0"/>
          <w:numId w:val="1012"/>
        </w:numPr>
      </w:pPr>
      <w:r>
        <w:t xml:space="preserve">Q2 is a strong operational quarter, but unusually large IET awards create difficult order comparisons.</w:t>
      </w:r>
    </w:p>
    <w:p>
      <w:pPr>
        <w:pStyle w:val="Compact"/>
        <w:numPr>
          <w:ilvl w:val="0"/>
          <w:numId w:val="1012"/>
        </w:numPr>
      </w:pPr>
      <w:r>
        <w:t xml:space="preserve">Revenue conversion remains gradual through 2027–2029.</w:t>
      </w:r>
    </w:p>
    <w:p>
      <w:pPr>
        <w:pStyle w:val="Compact"/>
        <w:numPr>
          <w:ilvl w:val="0"/>
          <w:numId w:val="1012"/>
        </w:numPr>
      </w:pPr>
      <w:r>
        <w:t xml:space="preserve">OFSE improves but continues to face inflation and regional volatility.</w:t>
      </w:r>
    </w:p>
    <w:p>
      <w:pPr>
        <w:pStyle w:val="Compact"/>
        <w:numPr>
          <w:ilvl w:val="0"/>
          <w:numId w:val="1012"/>
        </w:numPr>
      </w:pPr>
      <w:r>
        <w:t xml:space="preserve">Chart is strategically attractive, though integration and financing costs limit near-term EPS upside.</w:t>
      </w:r>
    </w:p>
    <w:p>
      <w:pPr>
        <w:pStyle w:val="Compact"/>
        <w:numPr>
          <w:ilvl w:val="0"/>
          <w:numId w:val="1012"/>
        </w:numPr>
      </w:pPr>
      <w:r>
        <w:t xml:space="preserve">The stock response depends on management giving credible combined-company guidance.</w:t>
      </w:r>
    </w:p>
    <w:bookmarkEnd w:id="24"/>
    <w:bookmarkStart w:id="25" w:name="bear-case"/>
    <w:p>
      <w:pPr>
        <w:pStyle w:val="Heading3"/>
      </w:pPr>
      <w:r>
        <w:t xml:space="preserve">Bear case</w:t>
      </w:r>
    </w:p>
    <w:p>
      <w:pPr>
        <w:pStyle w:val="Compact"/>
        <w:numPr>
          <w:ilvl w:val="0"/>
          <w:numId w:val="1013"/>
        </w:numPr>
      </w:pPr>
      <w:r>
        <w:t xml:space="preserve">Data-center and LNG orders have long lead times, limited cancellation protection or uncertain customer financing.</w:t>
      </w:r>
    </w:p>
    <w:p>
      <w:pPr>
        <w:pStyle w:val="Compact"/>
        <w:numPr>
          <w:ilvl w:val="0"/>
          <w:numId w:val="1013"/>
        </w:numPr>
      </w:pPr>
      <w:r>
        <w:t xml:space="preserve">Capacity expansion raises capital intensity before revenue materializes.</w:t>
      </w:r>
    </w:p>
    <w:p>
      <w:pPr>
        <w:pStyle w:val="Compact"/>
        <w:numPr>
          <w:ilvl w:val="0"/>
          <w:numId w:val="1013"/>
        </w:numPr>
      </w:pPr>
      <w:r>
        <w:t xml:space="preserve">IET margins decline as equipment production ramps.</w:t>
      </w:r>
    </w:p>
    <w:p>
      <w:pPr>
        <w:pStyle w:val="Compact"/>
        <w:numPr>
          <w:ilvl w:val="0"/>
          <w:numId w:val="1013"/>
        </w:numPr>
      </w:pPr>
      <w:r>
        <w:t xml:space="preserve">Middle East improvement reflects delayed shipments rather than a durable recovery.</w:t>
      </w:r>
    </w:p>
    <w:p>
      <w:pPr>
        <w:pStyle w:val="Compact"/>
        <w:numPr>
          <w:ilvl w:val="0"/>
          <w:numId w:val="1013"/>
        </w:numPr>
      </w:pPr>
      <w:r>
        <w:t xml:space="preserve">Chart integration costs exceed initial assumptions and leverage remains elevated longer than expected.</w:t>
      </w:r>
    </w:p>
    <w:p>
      <w:r>
        <w:pict>
          <v:rect style="width:0;height:1.5pt" o:hralign="center" o:hrstd="t" o:hr="t"/>
        </w:pict>
      </w:r>
    </w:p>
    <w:bookmarkEnd w:id="25"/>
    <w:bookmarkEnd w:id="26"/>
    <w:bookmarkStart w:id="27" w:name="most-important-questions-for-management"/>
    <w:p>
      <w:pPr>
        <w:pStyle w:val="Heading2"/>
      </w:pPr>
      <w:r>
        <w:t xml:space="preserve">Most important questions for management</w:t>
      </w:r>
    </w:p>
    <w:p>
      <w:pPr>
        <w:pStyle w:val="Compact"/>
        <w:numPr>
          <w:ilvl w:val="0"/>
          <w:numId w:val="1014"/>
        </w:numPr>
      </w:pPr>
      <w:r>
        <w:rPr>
          <w:b/>
          <w:bCs/>
        </w:rPr>
        <w:t xml:space="preserve">What is the new 2026 IET order range after nearly $12 billion of first-half bookings?</w:t>
      </w:r>
    </w:p>
    <w:p>
      <w:pPr>
        <w:pStyle w:val="Compact"/>
        <w:numPr>
          <w:ilvl w:val="0"/>
          <w:numId w:val="1014"/>
        </w:numPr>
      </w:pPr>
      <w:r>
        <w:rPr>
          <w:b/>
          <w:bCs/>
        </w:rPr>
        <w:t xml:space="preserve">What are the combined BKR-plus-Chart revenue, EBITDA, EPS and free-cash-flow expectations for 2026?</w:t>
      </w:r>
    </w:p>
    <w:p>
      <w:pPr>
        <w:pStyle w:val="Compact"/>
        <w:numPr>
          <w:ilvl w:val="0"/>
          <w:numId w:val="1014"/>
        </w:numPr>
      </w:pPr>
      <w:r>
        <w:rPr>
          <w:b/>
          <w:bCs/>
        </w:rPr>
        <w:t xml:space="preserve">How much additional NovaLT and broader Power Systems capacity will be added, at what cost and by when?</w:t>
      </w:r>
    </w:p>
    <w:p>
      <w:pPr>
        <w:pStyle w:val="Compact"/>
        <w:numPr>
          <w:ilvl w:val="0"/>
          <w:numId w:val="1014"/>
        </w:numPr>
      </w:pPr>
      <w:r>
        <w:rPr>
          <w:b/>
          <w:bCs/>
        </w:rPr>
        <w:t xml:space="preserve">What commercial protections support the large data-center power orders?</w:t>
      </w:r>
    </w:p>
    <w:p>
      <w:pPr>
        <w:pStyle w:val="Compact"/>
        <w:numPr>
          <w:ilvl w:val="0"/>
          <w:numId w:val="1014"/>
        </w:numPr>
      </w:pPr>
      <w:r>
        <w:rPr>
          <w:b/>
          <w:bCs/>
        </w:rPr>
        <w:t xml:space="preserve">Can IET sustain a 20%-plus margin while substantially increasing equipment output?</w:t>
      </w:r>
    </w:p>
    <w:p>
      <w:pPr>
        <w:pStyle w:val="Compact"/>
        <w:numPr>
          <w:ilvl w:val="0"/>
          <w:numId w:val="1014"/>
        </w:numPr>
      </w:pPr>
      <w:r>
        <w:rPr>
          <w:b/>
          <w:bCs/>
        </w:rPr>
        <w:t xml:space="preserve">How much of OFSE’s late-quarter Middle East recovery is repeatable in Q3?</w:t>
      </w:r>
    </w:p>
    <w:p>
      <w:pPr>
        <w:pStyle w:val="Compact"/>
        <w:numPr>
          <w:ilvl w:val="0"/>
          <w:numId w:val="1014"/>
        </w:numPr>
      </w:pPr>
      <w:r>
        <w:rPr>
          <w:b/>
          <w:bCs/>
        </w:rPr>
        <w:t xml:space="preserve">What is pro forma leverage following the Chart closing, and how quickly can it decline?</w:t>
      </w:r>
    </w:p>
    <w:p>
      <w:pPr>
        <w:pStyle w:val="Compact"/>
        <w:numPr>
          <w:ilvl w:val="0"/>
          <w:numId w:val="1014"/>
        </w:numPr>
      </w:pPr>
      <w:r>
        <w:rPr>
          <w:b/>
          <w:bCs/>
        </w:rPr>
        <w:t xml:space="preserve">When will the first Chart cost synergies appear in reported earnings?</w:t>
      </w:r>
    </w:p>
    <w:p>
      <w:pPr>
        <w:pStyle w:val="Compact"/>
        <w:numPr>
          <w:ilvl w:val="0"/>
          <w:numId w:val="1014"/>
        </w:numPr>
      </w:pPr>
      <w:r>
        <w:rPr>
          <w:b/>
          <w:bCs/>
        </w:rPr>
        <w:t xml:space="preserve">Does the strong Q2 cash result change the full-year free-cash-flow target?</w:t>
      </w:r>
    </w:p>
    <w:p>
      <w:pPr>
        <w:pStyle w:val="Compact"/>
        <w:numPr>
          <w:ilvl w:val="0"/>
          <w:numId w:val="1014"/>
        </w:numPr>
      </w:pPr>
      <w:r>
        <w:rPr>
          <w:b/>
          <w:bCs/>
        </w:rPr>
        <w:t xml:space="preserve">What are the major execution bottlenecks—turbines, generators, compressors, suppliers or skilled labor?</w:t>
      </w:r>
    </w:p>
    <w:bookmarkEnd w:id="27"/>
    <w:bookmarkStart w:id="28" w:name="bottom-line"/>
    <w:p>
      <w:pPr>
        <w:pStyle w:val="Heading2"/>
      </w:pPr>
      <w:r>
        <w:t xml:space="preserve">Bottom line</w:t>
      </w:r>
    </w:p>
    <w:p>
      <w:pPr>
        <w:pStyle w:val="FirstParagraph"/>
      </w:pPr>
      <w:r>
        <w:t xml:space="preserve">The Q2 release strengthens the strategic case for Baker Hughes. IET orders and backlog are reaching levels that could support multiyear growth, OFSE performed better than management expected, and cash generation rebounded sharply.</w:t>
      </w:r>
    </w:p>
    <w:p>
      <w:pPr>
        <w:pStyle w:val="BodyText"/>
      </w:pPr>
      <w:r>
        <w:t xml:space="preserve">The call must now connect those positives to a concrete financial framework. The most valuable information will be</w:t>
      </w:r>
      <w:r>
        <w:t xml:space="preserve"> </w:t>
      </w:r>
      <w:r>
        <w:rPr>
          <w:b/>
          <w:bCs/>
        </w:rPr>
        <w:t xml:space="preserve">revised order guidance, combined-company guidance following the Chart closing, capacity-expansion economics and a post-acquisition leverage plan</w:t>
      </w:r>
      <w:r>
        <w:t xml:space="preserve">.</w:t>
      </w:r>
    </w:p>
    <w:p>
      <w:pPr>
        <w:pStyle w:val="BodyText"/>
      </w:pPr>
      <w:r>
        <w:t xml:space="preserve">If management can demonstrate that the order surge is high-quality, margin-accretive and capital-efficient, the quarter could mark an important validation of Baker Hughes’ transformation into a broader industrialized energy and power-infrastructure company.</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2026-07-27T00:04:40Z</dcterms:created>
  <dcterms:modified xsi:type="dcterms:W3CDTF">2026-07-27T00:04:40Z</dcterms:modified>
</cp:coreProperties>
</file>

<file path=docProps/custom.xml><?xml version="1.0" encoding="utf-8"?>
<Properties xmlns="http://schemas.openxmlformats.org/officeDocument/2006/custom-properties" xmlns:vt="http://schemas.openxmlformats.org/officeDocument/2006/docPropsVTypes"/>
</file>