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kr-earnings-predictions--2026-07-27"/>
    <w:p>
      <w:pPr>
        <w:pStyle w:val="Heading1"/>
      </w:pPr>
      <w:r>
        <w:t xml:space="preserve">BKR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~$1.14bn vs. cons $1.13bn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IET orders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~$4.05bn vs. cons $3.80bn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OFSE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~$3.12bn vs. cons $3.20bn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~$4.55bn vs. cons $4.65bn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OFSE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~$2.20bn vs. cons $2.325bn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IET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~$2.72bn vs. cons $2.70bn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A likely IET-order beat of ~$4.05bn versus</w:t>
            </w:r>
            <w:r>
              <w:t xml:space="preserve"> </w:t>
            </w:r>
            <m:oMath>
              <m:r>
                <m:t>3.80</m:t>
              </m:r>
              <m:r>
                <m:t>b</m:t>
              </m:r>
              <m:r>
                <m:t>n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r</m:t>
              </m:r>
              <m:r>
                <m:t>o</m:t>
              </m:r>
              <m:r>
                <m:t>u</m:t>
              </m:r>
              <m:r>
                <m:t>g</m:t>
              </m:r>
              <m:r>
                <m:t>h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t> </m:t>
              </m:r>
            </m:oMath>
            <w:r>
              <w:t xml:space="preserve">1.14bn EBITDA versus $1.13bn will be outweighed by an implied FY26 OFSE EBITDA reset to about $2.20bn versus $2.325bn consensus. The resulting FY26 consolidated EBITDA guide of about $4.55bn versus $4.65bn shifts the debate to a slower Middle East normalization and pushes out-period estimates lower, supporting continued negative revisions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2026-07-27T00:03:43Z</dcterms:created>
  <dcterms:modified xsi:type="dcterms:W3CDTF">2026-07-27T00:03:43Z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