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Baker Hughes Company (BKR)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Baker Hughes Company</w:t>
            </w:r>
          </w:p>
        </w:tc>
      </w:tr>
      <w:tr>
        <w:tc>
          <w:tcPr>
            <w:tcW w:type="dxa" w:w="4320"/>
          </w:tcPr>
          <w:p>
            <w:r>
              <w:rPr>
                <w:rFonts w:ascii="Calibri" w:hAnsi="Calibri"/>
                <w:b/>
                <w:sz w:val="22"/>
              </w:rPr>
              <w:t>Ticker</w:t>
            </w:r>
          </w:p>
        </w:tc>
        <w:tc>
          <w:tcPr>
            <w:tcW w:type="dxa" w:w="4320"/>
          </w:tcPr>
          <w:p>
            <w:r>
              <w:rPr>
                <w:rFonts w:ascii="Calibri" w:hAnsi="Calibri"/>
                <w:sz w:val="22"/>
              </w:rPr>
              <w:t>BKR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26, 2026 (press release issued; call pending)</w:t>
            </w:r>
          </w:p>
        </w:tc>
      </w:tr>
      <w:tr>
        <w:tc>
          <w:tcPr>
            <w:tcW w:type="dxa" w:w="4320"/>
          </w:tcPr>
          <w:p>
            <w:r>
              <w:rPr>
                <w:rFonts w:ascii="Calibri" w:hAnsi="Calibri"/>
                <w:b/>
                <w:sz w:val="22"/>
              </w:rPr>
              <w:t>Last Earnings Date</w:t>
            </w:r>
          </w:p>
        </w:tc>
        <w:tc>
          <w:tcPr>
            <w:tcW w:type="dxa" w:w="4320"/>
          </w:tcPr>
          <w:p>
            <w:r>
              <w:rPr>
                <w:rFonts w:ascii="Calibri" w:hAnsi="Calibri"/>
                <w:sz w:val="22"/>
              </w:rPr>
              <w:t>April 23, 2026 (Q1 2026)</w:t>
            </w:r>
          </w:p>
        </w:tc>
      </w:tr>
      <w:tr>
        <w:tc>
          <w:tcPr>
            <w:tcW w:type="dxa" w:w="4320"/>
          </w:tcPr>
          <w:p>
            <w:r>
              <w:rPr>
                <w:rFonts w:ascii="Calibri" w:hAnsi="Calibri"/>
                <w:b/>
                <w:sz w:val="22"/>
              </w:rPr>
              <w:t>Prepared Date</w:t>
            </w:r>
          </w:p>
        </w:tc>
        <w:tc>
          <w:tcPr>
            <w:tcW w:type="dxa" w:w="4320"/>
          </w:tcPr>
          <w:p>
            <w:r>
              <w:rPr>
                <w:rFonts w:ascii="Calibri" w:hAnsi="Calibri"/>
                <w:sz w:val="22"/>
              </w:rPr>
              <w:t>July 26, 2026</w:t>
            </w:r>
          </w:p>
        </w:tc>
      </w:tr>
      <w:tr>
        <w:tc>
          <w:tcPr>
            <w:tcW w:type="dxa" w:w="4320"/>
          </w:tcPr>
          <w:p>
            <w:r>
              <w:rPr>
                <w:rFonts w:ascii="Calibri" w:hAnsi="Calibri"/>
                <w:b/>
                <w:sz w:val="22"/>
              </w:rPr>
              <w:t>Sector ETF (Benchmark)</w:t>
            </w:r>
          </w:p>
        </w:tc>
        <w:tc>
          <w:tcPr>
            <w:tcW w:type="dxa" w:w="4320"/>
          </w:tcPr>
          <w:p>
            <w:r>
              <w:rPr>
                <w:rFonts w:ascii="Calibri" w:hAnsi="Calibri"/>
                <w:sz w:val="22"/>
              </w:rPr>
              <w:t>OIH (VanEck Oil Services ETF)</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BKR's Q2 2026 press release is a clear beat — </w:t>
      </w:r>
      <w:r>
        <w:rPr>
          <w:rFonts w:ascii="Calibri" w:hAnsi="Calibri"/>
          <w:b/>
          <w:color w:val="525866"/>
          <w:sz w:val="22"/>
        </w:rPr>
        <w:t>adjusted EBITDA of $1,231M exceeded the high end of guidance</w:t>
      </w:r>
      <w:r>
        <w:rPr>
          <w:rFonts w:ascii="Calibri" w:hAnsi="Calibri"/>
          <w:color w:val="525866"/>
          <w:sz w:val="22"/>
        </w:rPr>
        <w:t xml:space="preserve"> and IET orders of $7.1B more than doubled year-over-year — with the single biggest swing factor for the call being the magnitude of the IET order raise and the new Horizon 2 target of $45B+.</w:t>
      </w:r>
    </w:p>
    <w:p>
      <w:r>
        <w:rPr>
          <w:rFonts w:ascii="Calibri" w:hAnsi="Calibri"/>
          <w:color w:val="525866"/>
          <w:sz w:val="22"/>
        </w:rPr>
        <w:t xml:space="preserve">The bar heading into Q2 2026 was already elevated after BKR's strong Q1 print, yet the company cleared it convincingly: consensus had modeled ~$6.50B in revenue and ~$1.14B in adjusted EBITDA, and the press release delivered $6.74B and $1.23B respectively, with EBITDA exceeding the top of the guided range. The most important development is not the revenue or EBITDA beat per se, but the </w:t>
      </w:r>
      <w:r>
        <w:rPr>
          <w:rFonts w:ascii="Calibri" w:hAnsi="Calibri"/>
          <w:b/>
          <w:color w:val="525866"/>
          <w:sz w:val="22"/>
        </w:rPr>
        <w:t>record IET orders of $7.1B — more than double the prior year — driven by landmark LNG awards (Venture Global, Cheniere/Sabine Pass Train 7, Golar FLNG) and a massive data center turbine award from Dynamis Power Solutions (76 NovaLT16 turbines, ~1.3 GW)</w:t>
      </w:r>
      <w:r>
        <w:rPr>
          <w:rFonts w:ascii="Calibri" w:hAnsi="Calibri"/>
          <w:color w:val="525866"/>
          <w:sz w:val="22"/>
        </w:rPr>
        <w:t xml:space="preserve">; this drove IET RPO to a record $37.1B and total RPO to $40.1B. Management's tone has shifted from cautious resilience (Q1 language of 'slightly below midpoint' for full year) to outright confidence, with CEO Simonelli now guiding to the </w:t>
      </w:r>
      <w:r>
        <w:rPr>
          <w:rFonts w:ascii="Calibri" w:hAnsi="Calibri"/>
          <w:b/>
          <w:color w:val="525866"/>
          <w:sz w:val="22"/>
        </w:rPr>
        <w:t>full-year guidance midpoint</w:t>
      </w:r>
      <w:r>
        <w:rPr>
          <w:rFonts w:ascii="Calibri" w:hAnsi="Calibri"/>
          <w:color w:val="525866"/>
          <w:sz w:val="22"/>
        </w:rPr>
        <w:t xml:space="preserve"> and raising the Horizon 2 IET order target from $40B+ to $45B+. OFSE delivered a sequential recovery — revenue up 7% QoQ to $3.45B and EBITDA margin of 17.5% — better than the feared &gt;20% sequential Middle East decline, suggesting the region is stabilizing faster than the Q1 call implied. The wildcard for the earnings call is the </w:t>
      </w:r>
      <w:r>
        <w:rPr>
          <w:rFonts w:ascii="Calibri" w:hAnsi="Calibri"/>
          <w:b/>
          <w:color w:val="525866"/>
          <w:sz w:val="22"/>
        </w:rPr>
        <w:t>Chart Industries integration update</w:t>
      </w:r>
      <w:r>
        <w:rPr>
          <w:rFonts w:ascii="Calibri" w:hAnsi="Calibri"/>
          <w:color w:val="525866"/>
          <w:sz w:val="22"/>
        </w:rPr>
        <w:t xml:space="preserve"> (acquisition closed July 16, 2026) and whether management provides incremental synergy or revenue guidance that could further re-rate the IET multiple; additionally, any commentary on the pace of Middle East recovery into H2 2026 will be closely watched given SLB and HAL both flagged a gradual, country-by-country restoration.</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was a </w:t>
      </w:r>
      <w:r>
        <w:rPr>
          <w:rFonts w:ascii="Calibri" w:hAnsi="Calibri"/>
          <w:b/>
          <w:color w:val="525866"/>
          <w:sz w:val="22"/>
        </w:rPr>
        <w:t>low bar on every major KPI</w:t>
      </w:r>
      <w:r>
        <w:rPr>
          <w:rFonts w:ascii="Calibri" w:hAnsi="Calibri"/>
          <w:color w:val="525866"/>
          <w:sz w:val="22"/>
        </w:rPr>
        <w:t xml:space="preserve"> — BKR beat on revenue, EBITDA, EPS, and IET margin — but the biggest swing factor is IET orders, which came in at $7.1B vs. a consensus of ~$3.6B, a massive upside surprise that will dominate the call narrative.</w:t>
      </w:r>
    </w:p>
    <w:p>
      <w:pPr>
        <w:pStyle w:val="Heading2"/>
      </w:pPr>
      <w:r>
        <w:rPr>
          <w:rFonts w:ascii="Calibri" w:hAnsi="Calibri"/>
          <w:b/>
          <w:color w:val="3B4259"/>
          <w:sz w:val="28"/>
        </w:rPr>
        <w:t>Table 1 — Q2 2026 Current Quarter Snapshot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w:t>
            </w:r>
          </w:p>
        </w:tc>
        <w:tc>
          <w:tcPr>
            <w:tcW w:type="dxa" w:w="1080"/>
            <w:shd w:val="clear" w:color="auto" w:fill="3B4259"/>
          </w:tcPr>
          <w:p>
            <w:r>
              <w:rPr>
                <w:rFonts w:ascii="Calibri" w:hAnsi="Calibri"/>
                <w:b/>
                <w:color w:val="FFFFFF"/>
                <w:sz w:val="22"/>
              </w:rPr>
              <w:t>Q1 2026 Actual (Last Quarter)</w:t>
            </w:r>
          </w:p>
        </w:tc>
        <w:tc>
          <w:tcPr>
            <w:tcW w:type="dxa" w:w="1080"/>
            <w:shd w:val="clear" w:color="auto" w:fill="3B4259"/>
          </w:tcPr>
          <w:p>
            <w:r>
              <w:rPr>
                <w:rFonts w:ascii="Calibri" w:hAnsi="Calibri"/>
                <w:b/>
                <w:color w:val="FFFFFF"/>
                <w:sz w:val="22"/>
              </w:rPr>
              <w:t>Q2 2025 Actual (Prior Year)</w:t>
            </w:r>
          </w:p>
        </w:tc>
        <w:tc>
          <w:tcPr>
            <w:tcW w:type="dxa" w:w="1080"/>
            <w:shd w:val="clear" w:color="auto" w:fill="3B4259"/>
          </w:tcPr>
          <w:p>
            <w:r>
              <w:rPr>
                <w:rFonts w:ascii="Calibri" w:hAnsi="Calibri"/>
                <w:b/>
                <w:color w:val="FFFFFF"/>
                <w:sz w:val="22"/>
              </w:rPr>
              <w:t>Q2 2026 Consensus Estimate (pre-print)</w:t>
            </w:r>
          </w:p>
        </w:tc>
        <w:tc>
          <w:tcPr>
            <w:tcW w:type="dxa" w:w="1080"/>
            <w:shd w:val="clear" w:color="auto" w:fill="3B4259"/>
          </w:tcPr>
          <w:p>
            <w:r>
              <w:rPr>
                <w:rFonts w:ascii="Calibri" w:hAnsi="Calibri"/>
                <w:b/>
                <w:color w:val="FFFFFF"/>
                <w:sz w:val="22"/>
              </w:rPr>
              <w:t>Q2 2026 Actual (Press Release)</w:t>
            </w:r>
          </w:p>
        </w:tc>
        <w:tc>
          <w:tcPr>
            <w:tcW w:type="dxa" w:w="1080"/>
            <w:shd w:val="clear" w:color="auto" w:fill="3B4259"/>
          </w:tcPr>
          <w:p>
            <w:r>
              <w:rPr>
                <w:rFonts w:ascii="Calibri" w:hAnsi="Calibri"/>
                <w:b/>
                <w:color w:val="FFFFFF"/>
                <w:sz w:val="22"/>
              </w:rPr>
              <w:t>YoY Change</w:t>
            </w:r>
          </w:p>
        </w:tc>
        <w:tc>
          <w:tcPr>
            <w:tcW w:type="dxa" w:w="1080"/>
            <w:shd w:val="clear" w:color="auto" w:fill="3B4259"/>
          </w:tcPr>
          <w:p>
            <w:r>
              <w:rPr>
                <w:rFonts w:ascii="Calibri" w:hAnsi="Calibri"/>
                <w:b/>
                <w:color w:val="FFFFFF"/>
                <w:sz w:val="22"/>
              </w:rPr>
              <w:t>Q1 2026 Guidance (Midpoint)</w:t>
            </w:r>
          </w:p>
        </w:tc>
        <w:tc>
          <w:tcPr>
            <w:tcW w:type="dxa" w:w="1080"/>
            <w:shd w:val="clear" w:color="auto" w:fill="3B4259"/>
          </w:tcPr>
          <w:p>
            <w:r>
              <w:rPr>
                <w:rFonts w:ascii="Calibri" w:hAnsi="Calibri"/>
                <w:b/>
                <w:color w:val="FFFFFF"/>
                <w:sz w:val="22"/>
              </w:rPr>
              <w:t>Actual vs. Guidance (%)</w:t>
            </w:r>
          </w:p>
        </w:tc>
      </w:tr>
      <w:tr>
        <w:tc>
          <w:tcPr>
            <w:tcW w:type="dxa" w:w="1080"/>
          </w:tcPr>
          <w:p>
            <w:r>
              <w:rPr>
                <w:rFonts w:ascii="Calibri" w:hAnsi="Calibri"/>
                <w:sz w:val="22"/>
              </w:rPr>
              <w:t>Total Revenue ($B)</w:t>
            </w:r>
          </w:p>
        </w:tc>
        <w:tc>
          <w:tcPr>
            <w:tcW w:type="dxa" w:w="1080"/>
          </w:tcPr>
          <w:p>
            <w:r>
              <w:rPr>
                <w:rFonts w:ascii="Calibri" w:hAnsi="Calibri"/>
                <w:sz w:val="22"/>
              </w:rPr>
              <w:t>$6.587B</w:t>
            </w:r>
          </w:p>
        </w:tc>
        <w:tc>
          <w:tcPr>
            <w:tcW w:type="dxa" w:w="1080"/>
          </w:tcPr>
          <w:p>
            <w:r>
              <w:rPr>
                <w:rFonts w:ascii="Calibri" w:hAnsi="Calibri"/>
                <w:sz w:val="22"/>
              </w:rPr>
              <w:t>$6.910B</w:t>
            </w:r>
          </w:p>
        </w:tc>
        <w:tc>
          <w:tcPr>
            <w:tcW w:type="dxa" w:w="1080"/>
          </w:tcPr>
          <w:p>
            <w:r>
              <w:rPr>
                <w:rFonts w:ascii="Calibri" w:hAnsi="Calibri"/>
                <w:sz w:val="22"/>
              </w:rPr>
              <w:t>$6.501B</w:t>
            </w:r>
          </w:p>
        </w:tc>
        <w:tc>
          <w:tcPr>
            <w:tcW w:type="dxa" w:w="1080"/>
          </w:tcPr>
          <w:p>
            <w:r>
              <w:rPr>
                <w:rFonts w:ascii="Calibri" w:hAnsi="Calibri"/>
                <w:b/>
                <w:color w:val="30A46C"/>
                <w:sz w:val="22"/>
              </w:rPr>
              <w:t>$6.742B</w:t>
            </w:r>
          </w:p>
        </w:tc>
        <w:tc>
          <w:tcPr>
            <w:tcW w:type="dxa" w:w="1080"/>
          </w:tcPr>
          <w:p>
            <w:r>
              <w:rPr>
                <w:rFonts w:ascii="Calibri" w:hAnsi="Calibri"/>
                <w:sz w:val="22"/>
              </w:rPr>
              <w:t>-2.4% YoY</w:t>
            </w:r>
          </w:p>
        </w:tc>
        <w:tc>
          <w:tcPr>
            <w:tcW w:type="dxa" w:w="1080"/>
          </w:tcPr>
          <w:p>
            <w:r>
              <w:rPr>
                <w:rFonts w:ascii="Calibri" w:hAnsi="Calibri"/>
                <w:sz w:val="22"/>
              </w:rPr>
              <w:t>$6.500B</w:t>
            </w:r>
          </w:p>
        </w:tc>
        <w:tc>
          <w:tcPr>
            <w:tcW w:type="dxa" w:w="1080"/>
          </w:tcPr>
          <w:p>
            <w:r>
              <w:rPr>
                <w:rFonts w:ascii="Calibri" w:hAnsi="Calibri"/>
                <w:sz w:val="22"/>
              </w:rPr>
              <w:t>+3.7%</w:t>
            </w:r>
          </w:p>
        </w:tc>
      </w:tr>
      <w:tr>
        <w:tc>
          <w:tcPr>
            <w:tcW w:type="dxa" w:w="1080"/>
          </w:tcPr>
          <w:p>
            <w:r>
              <w:rPr>
                <w:rFonts w:ascii="Calibri" w:hAnsi="Calibri"/>
                <w:sz w:val="22"/>
              </w:rPr>
              <w:t>Adjusted EBITDA ($M)</w:t>
            </w:r>
          </w:p>
        </w:tc>
        <w:tc>
          <w:tcPr>
            <w:tcW w:type="dxa" w:w="1080"/>
          </w:tcPr>
          <w:p>
            <w:r>
              <w:rPr>
                <w:rFonts w:ascii="Calibri" w:hAnsi="Calibri"/>
                <w:sz w:val="22"/>
              </w:rPr>
              <w:t>$1,158M</w:t>
            </w:r>
          </w:p>
        </w:tc>
        <w:tc>
          <w:tcPr>
            <w:tcW w:type="dxa" w:w="1080"/>
          </w:tcPr>
          <w:p>
            <w:r>
              <w:rPr>
                <w:rFonts w:ascii="Calibri" w:hAnsi="Calibri"/>
                <w:sz w:val="22"/>
              </w:rPr>
              <w:t>$1,212M</w:t>
            </w:r>
          </w:p>
        </w:tc>
        <w:tc>
          <w:tcPr>
            <w:tcW w:type="dxa" w:w="1080"/>
          </w:tcPr>
          <w:p>
            <w:r>
              <w:rPr>
                <w:rFonts w:ascii="Calibri" w:hAnsi="Calibri"/>
                <w:sz w:val="22"/>
              </w:rPr>
              <w:t>$1,136M</w:t>
            </w:r>
          </w:p>
        </w:tc>
        <w:tc>
          <w:tcPr>
            <w:tcW w:type="dxa" w:w="1080"/>
          </w:tcPr>
          <w:p>
            <w:r>
              <w:rPr>
                <w:rFonts w:ascii="Calibri" w:hAnsi="Calibri"/>
                <w:b/>
                <w:color w:val="30A46C"/>
                <w:sz w:val="22"/>
              </w:rPr>
              <w:t>$1,231M</w:t>
            </w:r>
          </w:p>
        </w:tc>
        <w:tc>
          <w:tcPr>
            <w:tcW w:type="dxa" w:w="1080"/>
          </w:tcPr>
          <w:p>
            <w:r>
              <w:rPr>
                <w:rFonts w:ascii="Calibri" w:hAnsi="Calibri"/>
                <w:sz w:val="22"/>
              </w:rPr>
              <w:t>+1.6% YoY</w:t>
            </w:r>
          </w:p>
        </w:tc>
        <w:tc>
          <w:tcPr>
            <w:tcW w:type="dxa" w:w="1080"/>
          </w:tcPr>
          <w:p>
            <w:r>
              <w:rPr>
                <w:rFonts w:ascii="Calibri" w:hAnsi="Calibri"/>
                <w:sz w:val="22"/>
              </w:rPr>
              <w:t>$1,130M</w:t>
            </w:r>
          </w:p>
        </w:tc>
        <w:tc>
          <w:tcPr>
            <w:tcW w:type="dxa" w:w="1080"/>
          </w:tcPr>
          <w:p>
            <w:r>
              <w:rPr>
                <w:rFonts w:ascii="Calibri" w:hAnsi="Calibri"/>
                <w:sz w:val="22"/>
              </w:rPr>
              <w:t>+8.9% (above high end)</w:t>
            </w:r>
          </w:p>
        </w:tc>
      </w:tr>
      <w:tr>
        <w:tc>
          <w:tcPr>
            <w:tcW w:type="dxa" w:w="1080"/>
          </w:tcPr>
          <w:p>
            <w:r>
              <w:rPr>
                <w:rFonts w:ascii="Calibri" w:hAnsi="Calibri"/>
                <w:sz w:val="22"/>
              </w:rPr>
              <w:t>Adj. EBITDA Margin (%)</w:t>
            </w:r>
          </w:p>
        </w:tc>
        <w:tc>
          <w:tcPr>
            <w:tcW w:type="dxa" w:w="1080"/>
          </w:tcPr>
          <w:p>
            <w:r>
              <w:rPr>
                <w:rFonts w:ascii="Calibri" w:hAnsi="Calibri"/>
                <w:sz w:val="22"/>
              </w:rPr>
              <w:t>17.6%</w:t>
            </w:r>
          </w:p>
        </w:tc>
        <w:tc>
          <w:tcPr>
            <w:tcW w:type="dxa" w:w="1080"/>
          </w:tcPr>
          <w:p>
            <w:r>
              <w:rPr>
                <w:rFonts w:ascii="Calibri" w:hAnsi="Calibri"/>
                <w:sz w:val="22"/>
              </w:rPr>
              <w:t>17.5%</w:t>
            </w:r>
          </w:p>
        </w:tc>
        <w:tc>
          <w:tcPr>
            <w:tcW w:type="dxa" w:w="1080"/>
          </w:tcPr>
          <w:p>
            <w:r>
              <w:rPr>
                <w:rFonts w:ascii="Calibri" w:hAnsi="Calibri"/>
                <w:sz w:val="22"/>
              </w:rPr>
              <w:t>17.5%</w:t>
            </w:r>
          </w:p>
        </w:tc>
        <w:tc>
          <w:tcPr>
            <w:tcW w:type="dxa" w:w="1080"/>
          </w:tcPr>
          <w:p>
            <w:r>
              <w:rPr>
                <w:rFonts w:ascii="Calibri" w:hAnsi="Calibri"/>
                <w:b/>
                <w:color w:val="30A46C"/>
                <w:sz w:val="22"/>
              </w:rPr>
              <w:t>18.3%</w:t>
            </w:r>
          </w:p>
        </w:tc>
        <w:tc>
          <w:tcPr>
            <w:tcW w:type="dxa" w:w="1080"/>
          </w:tcPr>
          <w:p>
            <w:r>
              <w:rPr>
                <w:rFonts w:ascii="Calibri" w:hAnsi="Calibri"/>
                <w:sz w:val="22"/>
              </w:rPr>
              <w:t>+0.8 pts YoY</w:t>
            </w:r>
          </w:p>
        </w:tc>
        <w:tc>
          <w:tcPr>
            <w:tcW w:type="dxa" w:w="1080"/>
          </w:tcPr>
          <w:p>
            <w:r>
              <w:rPr>
                <w:rFonts w:ascii="Calibri" w:hAnsi="Calibri"/>
                <w:sz w:val="22"/>
              </w:rPr>
              <w:t>~17.4%</w:t>
            </w:r>
          </w:p>
        </w:tc>
        <w:tc>
          <w:tcPr>
            <w:tcW w:type="dxa" w:w="1080"/>
          </w:tcPr>
          <w:p>
            <w:r>
              <w:rPr>
                <w:rFonts w:ascii="Calibri" w:hAnsi="Calibri"/>
                <w:sz w:val="22"/>
              </w:rPr>
              <w:t>+0.9 pts</w:t>
            </w:r>
          </w:p>
        </w:tc>
      </w:tr>
      <w:tr>
        <w:tc>
          <w:tcPr>
            <w:tcW w:type="dxa" w:w="1080"/>
          </w:tcPr>
          <w:p>
            <w:r>
              <w:rPr>
                <w:rFonts w:ascii="Calibri" w:hAnsi="Calibri"/>
                <w:sz w:val="22"/>
              </w:rPr>
              <w:t>Adj. Diluted EPS ($)</w:t>
            </w:r>
          </w:p>
        </w:tc>
        <w:tc>
          <w:tcPr>
            <w:tcW w:type="dxa" w:w="1080"/>
          </w:tcPr>
          <w:p>
            <w:r>
              <w:rPr>
                <w:rFonts w:ascii="Calibri" w:hAnsi="Calibri"/>
                <w:sz w:val="22"/>
              </w:rPr>
              <w:t>$0.58</w:t>
            </w:r>
          </w:p>
        </w:tc>
        <w:tc>
          <w:tcPr>
            <w:tcW w:type="dxa" w:w="1080"/>
          </w:tcPr>
          <w:p>
            <w:r>
              <w:rPr>
                <w:rFonts w:ascii="Calibri" w:hAnsi="Calibri"/>
                <w:sz w:val="22"/>
              </w:rPr>
              <w:t>$0.63</w:t>
            </w:r>
          </w:p>
        </w:tc>
        <w:tc>
          <w:tcPr>
            <w:tcW w:type="dxa" w:w="1080"/>
          </w:tcPr>
          <w:p>
            <w:r>
              <w:rPr>
                <w:rFonts w:ascii="Calibri" w:hAnsi="Calibri"/>
                <w:sz w:val="22"/>
              </w:rPr>
              <w:t>$0.485</w:t>
            </w:r>
          </w:p>
        </w:tc>
        <w:tc>
          <w:tcPr>
            <w:tcW w:type="dxa" w:w="1080"/>
          </w:tcPr>
          <w:p>
            <w:r>
              <w:rPr>
                <w:rFonts w:ascii="Calibri" w:hAnsi="Calibri"/>
                <w:b/>
                <w:color w:val="30A46C"/>
                <w:sz w:val="22"/>
              </w:rPr>
              <w:t>$0.64</w:t>
            </w:r>
          </w:p>
        </w:tc>
        <w:tc>
          <w:tcPr>
            <w:tcW w:type="dxa" w:w="1080"/>
          </w:tcPr>
          <w:p>
            <w:r>
              <w:rPr>
                <w:rFonts w:ascii="Calibri" w:hAnsi="Calibri"/>
                <w:sz w:val="22"/>
              </w:rPr>
              <w:t>+1.6% YoY</w:t>
            </w:r>
          </w:p>
        </w:tc>
        <w:tc>
          <w:tcPr>
            <w:tcW w:type="dxa" w:w="1080"/>
          </w:tcPr>
          <w:p>
            <w:r>
              <w:rPr>
                <w:rFonts w:ascii="Calibri" w:hAnsi="Calibri"/>
                <w:sz w:val="22"/>
              </w:rPr>
              <w:t>N/A (no EPS guidance)</w:t>
            </w:r>
          </w:p>
        </w:tc>
        <w:tc>
          <w:tcPr>
            <w:tcW w:type="dxa" w:w="1080"/>
          </w:tcPr>
          <w:p>
            <w:r>
              <w:rPr>
                <w:rFonts w:ascii="Calibri" w:hAnsi="Calibri"/>
                <w:sz w:val="22"/>
              </w:rPr>
              <w:t>N/A</w:t>
            </w:r>
          </w:p>
        </w:tc>
      </w:tr>
      <w:tr>
        <w:tc>
          <w:tcPr>
            <w:tcW w:type="dxa" w:w="1080"/>
          </w:tcPr>
          <w:p>
            <w:r>
              <w:rPr>
                <w:rFonts w:ascii="Calibri" w:hAnsi="Calibri"/>
                <w:sz w:val="22"/>
              </w:rPr>
              <w:t>IET Revenue ($B)</w:t>
            </w:r>
          </w:p>
        </w:tc>
        <w:tc>
          <w:tcPr>
            <w:tcW w:type="dxa" w:w="1080"/>
          </w:tcPr>
          <w:p>
            <w:r>
              <w:rPr>
                <w:rFonts w:ascii="Calibri" w:hAnsi="Calibri"/>
                <w:sz w:val="22"/>
              </w:rPr>
              <w:t>$3.350B</w:t>
            </w:r>
          </w:p>
        </w:tc>
        <w:tc>
          <w:tcPr>
            <w:tcW w:type="dxa" w:w="1080"/>
          </w:tcPr>
          <w:p>
            <w:r>
              <w:rPr>
                <w:rFonts w:ascii="Calibri" w:hAnsi="Calibri"/>
                <w:sz w:val="22"/>
              </w:rPr>
              <w:t>$3.293B</w:t>
            </w:r>
          </w:p>
        </w:tc>
        <w:tc>
          <w:tcPr>
            <w:tcW w:type="dxa" w:w="1080"/>
          </w:tcPr>
          <w:p>
            <w:r>
              <w:rPr>
                <w:rFonts w:ascii="Calibri" w:hAnsi="Calibri"/>
                <w:sz w:val="22"/>
              </w:rPr>
              <w:t>$3.290B</w:t>
            </w:r>
          </w:p>
        </w:tc>
        <w:tc>
          <w:tcPr>
            <w:tcW w:type="dxa" w:w="1080"/>
          </w:tcPr>
          <w:p>
            <w:r>
              <w:rPr>
                <w:rFonts w:ascii="Calibri" w:hAnsi="Calibri"/>
                <w:b/>
                <w:color w:val="30A46C"/>
                <w:sz w:val="22"/>
              </w:rPr>
              <w:t>$3.291B</w:t>
            </w:r>
          </w:p>
        </w:tc>
        <w:tc>
          <w:tcPr>
            <w:tcW w:type="dxa" w:w="1080"/>
          </w:tcPr>
          <w:p>
            <w:r>
              <w:rPr>
                <w:rFonts w:ascii="Calibri" w:hAnsi="Calibri"/>
                <w:sz w:val="22"/>
              </w:rPr>
              <w:t>flat YoY</w:t>
            </w:r>
          </w:p>
        </w:tc>
        <w:tc>
          <w:tcPr>
            <w:tcW w:type="dxa" w:w="1080"/>
          </w:tcPr>
          <w:p>
            <w:r>
              <w:rPr>
                <w:rFonts w:ascii="Calibri" w:hAnsi="Calibri"/>
                <w:sz w:val="22"/>
              </w:rPr>
              <w:t>~$3.350B (flat QoQ)</w:t>
            </w:r>
          </w:p>
        </w:tc>
        <w:tc>
          <w:tcPr>
            <w:tcW w:type="dxa" w:w="1080"/>
          </w:tcPr>
          <w:p>
            <w:r>
              <w:rPr>
                <w:rFonts w:ascii="Calibri" w:hAnsi="Calibri"/>
                <w:sz w:val="22"/>
              </w:rPr>
              <w:t>-1.8% vs. guidance</w:t>
            </w:r>
          </w:p>
        </w:tc>
      </w:tr>
      <w:tr>
        <w:tc>
          <w:tcPr>
            <w:tcW w:type="dxa" w:w="1080"/>
          </w:tcPr>
          <w:p>
            <w:r>
              <w:rPr>
                <w:rFonts w:ascii="Calibri" w:hAnsi="Calibri"/>
                <w:sz w:val="22"/>
              </w:rPr>
              <w:t>IET EBITDA Margin (%)</w:t>
            </w:r>
          </w:p>
        </w:tc>
        <w:tc>
          <w:tcPr>
            <w:tcW w:type="dxa" w:w="1080"/>
          </w:tcPr>
          <w:p>
            <w:r>
              <w:rPr>
                <w:rFonts w:ascii="Calibri" w:hAnsi="Calibri"/>
                <w:sz w:val="22"/>
              </w:rPr>
              <w:t>20.2%</w:t>
            </w:r>
          </w:p>
        </w:tc>
        <w:tc>
          <w:tcPr>
            <w:tcW w:type="dxa" w:w="1080"/>
          </w:tcPr>
          <w:p>
            <w:r>
              <w:rPr>
                <w:rFonts w:ascii="Calibri" w:hAnsi="Calibri"/>
                <w:sz w:val="22"/>
              </w:rPr>
              <w:t>17.8%</w:t>
            </w:r>
          </w:p>
        </w:tc>
        <w:tc>
          <w:tcPr>
            <w:tcW w:type="dxa" w:w="1080"/>
          </w:tcPr>
          <w:p>
            <w:r>
              <w:rPr>
                <w:rFonts w:ascii="Calibri" w:hAnsi="Calibri"/>
                <w:sz w:val="22"/>
              </w:rPr>
              <w:t>20.5%</w:t>
            </w:r>
          </w:p>
        </w:tc>
        <w:tc>
          <w:tcPr>
            <w:tcW w:type="dxa" w:w="1080"/>
          </w:tcPr>
          <w:p>
            <w:r>
              <w:rPr>
                <w:rFonts w:ascii="Calibri" w:hAnsi="Calibri"/>
                <w:b/>
                <w:color w:val="30A46C"/>
                <w:sz w:val="22"/>
              </w:rPr>
              <w:t>20.6%</w:t>
            </w:r>
          </w:p>
        </w:tc>
        <w:tc>
          <w:tcPr>
            <w:tcW w:type="dxa" w:w="1080"/>
          </w:tcPr>
          <w:p>
            <w:r>
              <w:rPr>
                <w:rFonts w:ascii="Calibri" w:hAnsi="Calibri"/>
                <w:sz w:val="22"/>
              </w:rPr>
              <w:t>+2.8 pts YoY</w:t>
            </w:r>
          </w:p>
        </w:tc>
        <w:tc>
          <w:tcPr>
            <w:tcW w:type="dxa" w:w="1080"/>
          </w:tcPr>
          <w:p>
            <w:r>
              <w:rPr>
                <w:rFonts w:ascii="Calibri" w:hAnsi="Calibri"/>
                <w:sz w:val="22"/>
              </w:rPr>
              <w:t>~20.0% (modestly up)</w:t>
            </w:r>
          </w:p>
        </w:tc>
        <w:tc>
          <w:tcPr>
            <w:tcW w:type="dxa" w:w="1080"/>
          </w:tcPr>
          <w:p>
            <w:r>
              <w:rPr>
                <w:rFonts w:ascii="Calibri" w:hAnsi="Calibri"/>
                <w:sz w:val="22"/>
              </w:rPr>
              <w:t>+0.6 pts vs. guidance</w:t>
            </w:r>
          </w:p>
        </w:tc>
      </w:tr>
      <w:tr>
        <w:tc>
          <w:tcPr>
            <w:tcW w:type="dxa" w:w="1080"/>
          </w:tcPr>
          <w:p>
            <w:r>
              <w:rPr>
                <w:rFonts w:ascii="Calibri" w:hAnsi="Calibri"/>
                <w:sz w:val="22"/>
              </w:rPr>
              <w:t>IET EBITDA ($M)</w:t>
            </w:r>
          </w:p>
        </w:tc>
        <w:tc>
          <w:tcPr>
            <w:tcW w:type="dxa" w:w="1080"/>
          </w:tcPr>
          <w:p>
            <w:r>
              <w:rPr>
                <w:rFonts w:ascii="Calibri" w:hAnsi="Calibri"/>
                <w:sz w:val="22"/>
              </w:rPr>
              <w:t>$678M</w:t>
            </w:r>
          </w:p>
        </w:tc>
        <w:tc>
          <w:tcPr>
            <w:tcW w:type="dxa" w:w="1080"/>
          </w:tcPr>
          <w:p>
            <w:r>
              <w:rPr>
                <w:rFonts w:ascii="Calibri" w:hAnsi="Calibri"/>
                <w:sz w:val="22"/>
              </w:rPr>
              <w:t>$585M</w:t>
            </w:r>
          </w:p>
        </w:tc>
        <w:tc>
          <w:tcPr>
            <w:tcW w:type="dxa" w:w="1080"/>
          </w:tcPr>
          <w:p>
            <w:r>
              <w:rPr>
                <w:rFonts w:ascii="Calibri" w:hAnsi="Calibri"/>
                <w:sz w:val="22"/>
              </w:rPr>
              <w:t>~$674M</w:t>
            </w:r>
          </w:p>
        </w:tc>
        <w:tc>
          <w:tcPr>
            <w:tcW w:type="dxa" w:w="1080"/>
          </w:tcPr>
          <w:p>
            <w:r>
              <w:rPr>
                <w:rFonts w:ascii="Calibri" w:hAnsi="Calibri"/>
                <w:b/>
                <w:color w:val="30A46C"/>
                <w:sz w:val="22"/>
              </w:rPr>
              <w:t>$678M</w:t>
            </w:r>
          </w:p>
        </w:tc>
        <w:tc>
          <w:tcPr>
            <w:tcW w:type="dxa" w:w="1080"/>
          </w:tcPr>
          <w:p>
            <w:r>
              <w:rPr>
                <w:rFonts w:ascii="Calibri" w:hAnsi="Calibri"/>
                <w:sz w:val="22"/>
              </w:rPr>
              <w:t>+16% YoY</w:t>
            </w:r>
          </w:p>
        </w:tc>
        <w:tc>
          <w:tcPr>
            <w:tcW w:type="dxa" w:w="1080"/>
          </w:tcPr>
          <w:p>
            <w:r>
              <w:rPr>
                <w:rFonts w:ascii="Calibri" w:hAnsi="Calibri"/>
                <w:sz w:val="22"/>
              </w:rPr>
              <w:t>$670M</w:t>
            </w:r>
          </w:p>
        </w:tc>
        <w:tc>
          <w:tcPr>
            <w:tcW w:type="dxa" w:w="1080"/>
          </w:tcPr>
          <w:p>
            <w:r>
              <w:rPr>
                <w:rFonts w:ascii="Calibri" w:hAnsi="Calibri"/>
                <w:sz w:val="22"/>
              </w:rPr>
              <w:t>+1.2%</w:t>
            </w:r>
          </w:p>
        </w:tc>
      </w:tr>
      <w:tr>
        <w:tc>
          <w:tcPr>
            <w:tcW w:type="dxa" w:w="1080"/>
          </w:tcPr>
          <w:p>
            <w:r>
              <w:rPr>
                <w:rFonts w:ascii="Calibri" w:hAnsi="Calibri"/>
                <w:sz w:val="22"/>
              </w:rPr>
              <w:t>OFSE Revenue ($B)</w:t>
            </w:r>
          </w:p>
        </w:tc>
        <w:tc>
          <w:tcPr>
            <w:tcW w:type="dxa" w:w="1080"/>
          </w:tcPr>
          <w:p>
            <w:r>
              <w:rPr>
                <w:rFonts w:ascii="Calibri" w:hAnsi="Calibri"/>
                <w:sz w:val="22"/>
              </w:rPr>
              <w:t>$3.237B</w:t>
            </w:r>
          </w:p>
        </w:tc>
        <w:tc>
          <w:tcPr>
            <w:tcW w:type="dxa" w:w="1080"/>
          </w:tcPr>
          <w:p>
            <w:r>
              <w:rPr>
                <w:rFonts w:ascii="Calibri" w:hAnsi="Calibri"/>
                <w:sz w:val="22"/>
              </w:rPr>
              <w:t>$3.617B</w:t>
            </w:r>
          </w:p>
        </w:tc>
        <w:tc>
          <w:tcPr>
            <w:tcW w:type="dxa" w:w="1080"/>
          </w:tcPr>
          <w:p>
            <w:r>
              <w:rPr>
                <w:rFonts w:ascii="Calibri" w:hAnsi="Calibri"/>
                <w:sz w:val="22"/>
              </w:rPr>
              <w:t>$3.215B</w:t>
            </w:r>
          </w:p>
        </w:tc>
        <w:tc>
          <w:tcPr>
            <w:tcW w:type="dxa" w:w="1080"/>
          </w:tcPr>
          <w:p>
            <w:r>
              <w:rPr>
                <w:rFonts w:ascii="Calibri" w:hAnsi="Calibri"/>
                <w:b/>
                <w:color w:val="30A46C"/>
                <w:sz w:val="22"/>
              </w:rPr>
              <w:t>$3.451B</w:t>
            </w:r>
          </w:p>
        </w:tc>
        <w:tc>
          <w:tcPr>
            <w:tcW w:type="dxa" w:w="1080"/>
          </w:tcPr>
          <w:p>
            <w:r>
              <w:rPr>
                <w:rFonts w:ascii="Calibri" w:hAnsi="Calibri"/>
                <w:sz w:val="22"/>
              </w:rPr>
              <w:t>-5% YoY</w:t>
            </w:r>
          </w:p>
        </w:tc>
        <w:tc>
          <w:tcPr>
            <w:tcW w:type="dxa" w:w="1080"/>
          </w:tcPr>
          <w:p>
            <w:r>
              <w:rPr>
                <w:rFonts w:ascii="Calibri" w:hAnsi="Calibri"/>
                <w:sz w:val="22"/>
              </w:rPr>
              <w:t>$3.200B</w:t>
            </w:r>
          </w:p>
        </w:tc>
        <w:tc>
          <w:tcPr>
            <w:tcW w:type="dxa" w:w="1080"/>
          </w:tcPr>
          <w:p>
            <w:r>
              <w:rPr>
                <w:rFonts w:ascii="Calibri" w:hAnsi="Calibri"/>
                <w:sz w:val="22"/>
              </w:rPr>
              <w:t>+7.8%</w:t>
            </w:r>
          </w:p>
        </w:tc>
      </w:tr>
      <w:tr>
        <w:tc>
          <w:tcPr>
            <w:tcW w:type="dxa" w:w="1080"/>
          </w:tcPr>
          <w:p>
            <w:r>
              <w:rPr>
                <w:rFonts w:ascii="Calibri" w:hAnsi="Calibri"/>
                <w:sz w:val="22"/>
              </w:rPr>
              <w:t>OFSE EBITDA Margin (%)</w:t>
            </w:r>
          </w:p>
        </w:tc>
        <w:tc>
          <w:tcPr>
            <w:tcW w:type="dxa" w:w="1080"/>
          </w:tcPr>
          <w:p>
            <w:r>
              <w:rPr>
                <w:rFonts w:ascii="Calibri" w:hAnsi="Calibri"/>
                <w:sz w:val="22"/>
              </w:rPr>
              <w:t>17.4%</w:t>
            </w:r>
          </w:p>
        </w:tc>
        <w:tc>
          <w:tcPr>
            <w:tcW w:type="dxa" w:w="1080"/>
          </w:tcPr>
          <w:p>
            <w:r>
              <w:rPr>
                <w:rFonts w:ascii="Calibri" w:hAnsi="Calibri"/>
                <w:sz w:val="22"/>
              </w:rPr>
              <w:t>18.7%</w:t>
            </w:r>
          </w:p>
        </w:tc>
        <w:tc>
          <w:tcPr>
            <w:tcW w:type="dxa" w:w="1080"/>
          </w:tcPr>
          <w:p>
            <w:r>
              <w:rPr>
                <w:rFonts w:ascii="Calibri" w:hAnsi="Calibri"/>
                <w:sz w:val="22"/>
              </w:rPr>
              <w:t>16.9%</w:t>
            </w:r>
          </w:p>
        </w:tc>
        <w:tc>
          <w:tcPr>
            <w:tcW w:type="dxa" w:w="1080"/>
          </w:tcPr>
          <w:p>
            <w:r>
              <w:rPr>
                <w:rFonts w:ascii="Calibri" w:hAnsi="Calibri"/>
                <w:b/>
                <w:color w:val="30A46C"/>
                <w:sz w:val="22"/>
              </w:rPr>
              <w:t>17.5%</w:t>
            </w:r>
          </w:p>
        </w:tc>
        <w:tc>
          <w:tcPr>
            <w:tcW w:type="dxa" w:w="1080"/>
          </w:tcPr>
          <w:p>
            <w:r>
              <w:rPr>
                <w:rFonts w:ascii="Calibri" w:hAnsi="Calibri"/>
                <w:sz w:val="22"/>
              </w:rPr>
              <w:t>-1.2 pts YoY</w:t>
            </w:r>
          </w:p>
        </w:tc>
        <w:tc>
          <w:tcPr>
            <w:tcW w:type="dxa" w:w="1080"/>
          </w:tcPr>
          <w:p>
            <w:r>
              <w:rPr>
                <w:rFonts w:ascii="Calibri" w:hAnsi="Calibri"/>
                <w:sz w:val="22"/>
              </w:rPr>
              <w:t>~16.9% (sequential decline)</w:t>
            </w:r>
          </w:p>
        </w:tc>
        <w:tc>
          <w:tcPr>
            <w:tcW w:type="dxa" w:w="1080"/>
          </w:tcPr>
          <w:p>
            <w:r>
              <w:rPr>
                <w:rFonts w:ascii="Calibri" w:hAnsi="Calibri"/>
                <w:sz w:val="22"/>
              </w:rPr>
              <w:t>+0.6 pts vs. guidance</w:t>
            </w:r>
          </w:p>
        </w:tc>
      </w:tr>
      <w:tr>
        <w:tc>
          <w:tcPr>
            <w:tcW w:type="dxa" w:w="1080"/>
          </w:tcPr>
          <w:p>
            <w:r>
              <w:rPr>
                <w:rFonts w:ascii="Calibri" w:hAnsi="Calibri"/>
                <w:sz w:val="22"/>
              </w:rPr>
              <w:t>IET Orders ($B)</w:t>
            </w:r>
          </w:p>
        </w:tc>
        <w:tc>
          <w:tcPr>
            <w:tcW w:type="dxa" w:w="1080"/>
          </w:tcPr>
          <w:p>
            <w:r>
              <w:rPr>
                <w:rFonts w:ascii="Calibri" w:hAnsi="Calibri"/>
                <w:sz w:val="22"/>
              </w:rPr>
              <w:t>$4.887B</w:t>
            </w:r>
          </w:p>
        </w:tc>
        <w:tc>
          <w:tcPr>
            <w:tcW w:type="dxa" w:w="1080"/>
          </w:tcPr>
          <w:p>
            <w:r>
              <w:rPr>
                <w:rFonts w:ascii="Calibri" w:hAnsi="Calibri"/>
                <w:sz w:val="22"/>
              </w:rPr>
              <w:t>$3.530B</w:t>
            </w:r>
          </w:p>
        </w:tc>
        <w:tc>
          <w:tcPr>
            <w:tcW w:type="dxa" w:w="1080"/>
          </w:tcPr>
          <w:p>
            <w:r>
              <w:rPr>
                <w:rFonts w:ascii="Calibri" w:hAnsi="Calibri"/>
                <w:sz w:val="22"/>
              </w:rPr>
              <w:t>$3.643B</w:t>
            </w:r>
          </w:p>
        </w:tc>
        <w:tc>
          <w:tcPr>
            <w:tcW w:type="dxa" w:w="1080"/>
          </w:tcPr>
          <w:p>
            <w:r>
              <w:rPr>
                <w:rFonts w:ascii="Calibri" w:hAnsi="Calibri"/>
                <w:b/>
                <w:color w:val="30A46C"/>
                <w:sz w:val="22"/>
              </w:rPr>
              <w:t>$7.088B</w:t>
            </w:r>
          </w:p>
        </w:tc>
        <w:tc>
          <w:tcPr>
            <w:tcW w:type="dxa" w:w="1080"/>
          </w:tcPr>
          <w:p>
            <w:r>
              <w:rPr>
                <w:rFonts w:ascii="Calibri" w:hAnsi="Calibri"/>
                <w:sz w:val="22"/>
              </w:rPr>
              <w:t>+101% YoY</w:t>
            </w:r>
          </w:p>
        </w:tc>
        <w:tc>
          <w:tcPr>
            <w:tcW w:type="dxa" w:w="1080"/>
          </w:tcPr>
          <w:p>
            <w:r>
              <w:rPr>
                <w:rFonts w:ascii="Calibri" w:hAnsi="Calibri"/>
                <w:sz w:val="22"/>
              </w:rPr>
              <w:t>N/A (no quarterly order guidance)</w:t>
            </w:r>
          </w:p>
        </w:tc>
        <w:tc>
          <w:tcPr>
            <w:tcW w:type="dxa" w:w="1080"/>
          </w:tcPr>
          <w:p>
            <w:r>
              <w:rPr>
                <w:rFonts w:ascii="Calibri" w:hAnsi="Calibri"/>
                <w:sz w:val="22"/>
              </w:rPr>
              <w:t>N/A</w:t>
            </w:r>
          </w:p>
        </w:tc>
      </w:tr>
      <w:tr>
        <w:tc>
          <w:tcPr>
            <w:tcW w:type="dxa" w:w="1080"/>
          </w:tcPr>
          <w:p>
            <w:r>
              <w:rPr>
                <w:rFonts w:ascii="Calibri" w:hAnsi="Calibri"/>
                <w:sz w:val="22"/>
              </w:rPr>
              <w:t>Total Orders ($B)</w:t>
            </w:r>
          </w:p>
        </w:tc>
        <w:tc>
          <w:tcPr>
            <w:tcW w:type="dxa" w:w="1080"/>
          </w:tcPr>
          <w:p>
            <w:r>
              <w:rPr>
                <w:rFonts w:ascii="Calibri" w:hAnsi="Calibri"/>
                <w:sz w:val="22"/>
              </w:rPr>
              <w:t>$8.159B</w:t>
            </w:r>
          </w:p>
        </w:tc>
        <w:tc>
          <w:tcPr>
            <w:tcW w:type="dxa" w:w="1080"/>
          </w:tcPr>
          <w:p>
            <w:r>
              <w:rPr>
                <w:rFonts w:ascii="Calibri" w:hAnsi="Calibri"/>
                <w:sz w:val="22"/>
              </w:rPr>
              <w:t>$7.033B</w:t>
            </w:r>
          </w:p>
        </w:tc>
        <w:tc>
          <w:tcPr>
            <w:tcW w:type="dxa" w:w="1080"/>
          </w:tcPr>
          <w:p>
            <w:r>
              <w:rPr>
                <w:rFonts w:ascii="Calibri" w:hAnsi="Calibri"/>
                <w:sz w:val="22"/>
              </w:rPr>
              <w:t>$5.983B</w:t>
            </w:r>
          </w:p>
        </w:tc>
        <w:tc>
          <w:tcPr>
            <w:tcW w:type="dxa" w:w="1080"/>
          </w:tcPr>
          <w:p>
            <w:r>
              <w:rPr>
                <w:rFonts w:ascii="Calibri" w:hAnsi="Calibri"/>
                <w:b/>
                <w:color w:val="30A46C"/>
                <w:sz w:val="22"/>
              </w:rPr>
              <w:t>$10.501B</w:t>
            </w:r>
          </w:p>
        </w:tc>
        <w:tc>
          <w:tcPr>
            <w:tcW w:type="dxa" w:w="1080"/>
          </w:tcPr>
          <w:p>
            <w:r>
              <w:rPr>
                <w:rFonts w:ascii="Calibri" w:hAnsi="Calibri"/>
                <w:sz w:val="22"/>
              </w:rPr>
              <w:t>+49% YoY</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Free Cash Flow ($M)</w:t>
            </w:r>
          </w:p>
        </w:tc>
        <w:tc>
          <w:tcPr>
            <w:tcW w:type="dxa" w:w="1080"/>
          </w:tcPr>
          <w:p>
            <w:r>
              <w:rPr>
                <w:rFonts w:ascii="Calibri" w:hAnsi="Calibri"/>
                <w:sz w:val="22"/>
              </w:rPr>
              <w:t>$210M</w:t>
            </w:r>
          </w:p>
        </w:tc>
        <w:tc>
          <w:tcPr>
            <w:tcW w:type="dxa" w:w="1080"/>
          </w:tcPr>
          <w:p>
            <w:r>
              <w:rPr>
                <w:rFonts w:ascii="Calibri" w:hAnsi="Calibri"/>
                <w:sz w:val="22"/>
              </w:rPr>
              <w:t>$239M</w:t>
            </w:r>
          </w:p>
        </w:tc>
        <w:tc>
          <w:tcPr>
            <w:tcW w:type="dxa" w:w="1080"/>
          </w:tcPr>
          <w:p>
            <w:r>
              <w:rPr>
                <w:rFonts w:ascii="Calibri" w:hAnsi="Calibri"/>
                <w:sz w:val="22"/>
              </w:rPr>
              <w:t>$478M</w:t>
            </w:r>
          </w:p>
        </w:tc>
        <w:tc>
          <w:tcPr>
            <w:tcW w:type="dxa" w:w="1080"/>
          </w:tcPr>
          <w:p>
            <w:r>
              <w:rPr>
                <w:rFonts w:ascii="Calibri" w:hAnsi="Calibri"/>
                <w:b/>
                <w:color w:val="30A46C"/>
                <w:sz w:val="22"/>
              </w:rPr>
              <w:t>$1,109M</w:t>
            </w:r>
          </w:p>
        </w:tc>
        <w:tc>
          <w:tcPr>
            <w:tcW w:type="dxa" w:w="1080"/>
          </w:tcPr>
          <w:p>
            <w:r>
              <w:rPr>
                <w:rFonts w:ascii="Calibri" w:hAnsi="Calibri"/>
                <w:sz w:val="22"/>
              </w:rPr>
              <w:t>+364% YoY</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b/>
          <w:color w:val="525866"/>
          <w:sz w:val="22"/>
        </w:rPr>
        <w:t xml:space="preserve">Sources: </w:t>
      </w:r>
      <w:r>
        <w:rPr>
          <w:rFonts w:ascii="Calibri" w:hAnsi="Calibri"/>
          <w:color w:val="525866"/>
          <w:sz w:val="22"/>
        </w:rPr>
        <w:t>Q2 2026 actuals from Baker Hughes Q2 2026 press release (July 26, 2026). Consensus estimates from Visible Alpha. Q1 2026 guidance from Q1 2026 earnings call transcript (April 23, 2026). YoY comparisons vs. Q2 2025 actuals from Visible Alpha.</w:t>
      </w:r>
    </w:p>
    <w:p>
      <w:pPr>
        <w:pStyle w:val="Heading2"/>
      </w:pPr>
      <w:r>
        <w:rPr>
          <w:rFonts w:ascii="Calibri" w:hAnsi="Calibri"/>
          <w:b/>
          <w:color w:val="3B4259"/>
          <w:sz w:val="28"/>
        </w:rPr>
        <w:t>Table 2 — Beat/Miss History: Last 8 Quarters (Top 2 KPIs: IET Orders &amp; Adjusted EPS)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IET Orders — Reported ($B)</w:t>
            </w:r>
          </w:p>
        </w:tc>
        <w:tc>
          <w:tcPr>
            <w:tcW w:type="dxa" w:w="1080"/>
            <w:shd w:val="clear" w:color="auto" w:fill="3B4259"/>
          </w:tcPr>
          <w:p>
            <w:r>
              <w:rPr>
                <w:rFonts w:ascii="Calibri" w:hAnsi="Calibri"/>
                <w:b/>
                <w:color w:val="FFFFFF"/>
                <w:sz w:val="22"/>
              </w:rPr>
              <w:t>IET Orders — Consensus ($B)</w:t>
            </w:r>
          </w:p>
        </w:tc>
        <w:tc>
          <w:tcPr>
            <w:tcW w:type="dxa" w:w="1080"/>
            <w:shd w:val="clear" w:color="auto" w:fill="3B4259"/>
          </w:tcPr>
          <w:p>
            <w:r>
              <w:rPr>
                <w:rFonts w:ascii="Calibri" w:hAnsi="Calibri"/>
                <w:b/>
                <w:color w:val="FFFFFF"/>
                <w:sz w:val="22"/>
              </w:rPr>
              <w:t>IET Orders Surprise %</w:t>
            </w:r>
          </w:p>
        </w:tc>
        <w:tc>
          <w:tcPr>
            <w:tcW w:type="dxa" w:w="1080"/>
            <w:shd w:val="clear" w:color="auto" w:fill="3B4259"/>
          </w:tcPr>
          <w:p>
            <w:r>
              <w:rPr>
                <w:rFonts w:ascii="Calibri" w:hAnsi="Calibri"/>
                <w:b/>
                <w:color w:val="FFFFFF"/>
                <w:sz w:val="22"/>
              </w:rPr>
              <w:t>Adj. EPS — Reported ($)</w:t>
            </w:r>
          </w:p>
        </w:tc>
        <w:tc>
          <w:tcPr>
            <w:tcW w:type="dxa" w:w="1080"/>
            <w:shd w:val="clear" w:color="auto" w:fill="3B4259"/>
          </w:tcPr>
          <w:p>
            <w:r>
              <w:rPr>
                <w:rFonts w:ascii="Calibri" w:hAnsi="Calibri"/>
                <w:b/>
                <w:color w:val="FFFFFF"/>
                <w:sz w:val="22"/>
              </w:rPr>
              <w:t>Adj. EPS — Consensus ($)</w:t>
            </w:r>
          </w:p>
        </w:tc>
        <w:tc>
          <w:tcPr>
            <w:tcW w:type="dxa" w:w="1080"/>
            <w:shd w:val="clear" w:color="auto" w:fill="3B4259"/>
          </w:tcPr>
          <w:p>
            <w:r>
              <w:rPr>
                <w:rFonts w:ascii="Calibri" w:hAnsi="Calibri"/>
                <w:b/>
                <w:color w:val="FFFFFF"/>
                <w:sz w:val="22"/>
              </w:rPr>
              <w:t>Adj. EPS Surprise %</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Q3 2024</w:t>
            </w:r>
          </w:p>
        </w:tc>
        <w:tc>
          <w:tcPr>
            <w:tcW w:type="dxa" w:w="1080"/>
          </w:tcPr>
          <w:p>
            <w:r>
              <w:rPr>
                <w:rFonts w:ascii="Calibri" w:hAnsi="Calibri"/>
                <w:sz w:val="22"/>
              </w:rPr>
              <w:t>$2.868B</w:t>
            </w:r>
          </w:p>
        </w:tc>
        <w:tc>
          <w:tcPr>
            <w:tcW w:type="dxa" w:w="1080"/>
          </w:tcPr>
          <w:p>
            <w:r>
              <w:rPr>
                <w:rFonts w:ascii="Calibri" w:hAnsi="Calibri"/>
                <w:sz w:val="22"/>
              </w:rPr>
              <w:t>$2.720B</w:t>
            </w:r>
          </w:p>
        </w:tc>
        <w:tc>
          <w:tcPr>
            <w:tcW w:type="dxa" w:w="1080"/>
          </w:tcPr>
          <w:p>
            <w:r>
              <w:rPr>
                <w:rFonts w:ascii="Calibri" w:hAnsi="Calibri"/>
                <w:b/>
                <w:color w:val="30A46C"/>
                <w:sz w:val="22"/>
              </w:rPr>
              <w:t>+5.4%</w:t>
            </w:r>
          </w:p>
        </w:tc>
        <w:tc>
          <w:tcPr>
            <w:tcW w:type="dxa" w:w="1080"/>
          </w:tcPr>
          <w:p>
            <w:r>
              <w:rPr>
                <w:rFonts w:ascii="Calibri" w:hAnsi="Calibri"/>
                <w:sz w:val="22"/>
              </w:rPr>
              <w:t>$0.67</w:t>
            </w:r>
          </w:p>
        </w:tc>
        <w:tc>
          <w:tcPr>
            <w:tcW w:type="dxa" w:w="1080"/>
          </w:tcPr>
          <w:p>
            <w:r>
              <w:rPr>
                <w:rFonts w:ascii="Calibri" w:hAnsi="Calibri"/>
                <w:sz w:val="22"/>
              </w:rPr>
              <w:t>$0.607</w:t>
            </w:r>
          </w:p>
        </w:tc>
        <w:tc>
          <w:tcPr>
            <w:tcW w:type="dxa" w:w="1080"/>
          </w:tcPr>
          <w:p>
            <w:r>
              <w:rPr>
                <w:rFonts w:ascii="Calibri" w:hAnsi="Calibri"/>
                <w:b/>
                <w:color w:val="30A46C"/>
                <w:sz w:val="22"/>
              </w:rPr>
              <w:t>+10.4%</w:t>
            </w:r>
          </w:p>
        </w:tc>
        <w:tc>
          <w:tcPr>
            <w:tcW w:type="dxa" w:w="1080"/>
          </w:tcPr>
          <w:p>
            <w:r>
              <w:rPr>
                <w:rFonts w:ascii="Calibri" w:hAnsi="Calibri"/>
                <w:sz w:val="22"/>
              </w:rPr>
              <w:t>Beat</w:t>
            </w:r>
          </w:p>
        </w:tc>
      </w:tr>
      <w:tr>
        <w:tc>
          <w:tcPr>
            <w:tcW w:type="dxa" w:w="1080"/>
          </w:tcPr>
          <w:p>
            <w:r>
              <w:rPr>
                <w:rFonts w:ascii="Calibri" w:hAnsi="Calibri"/>
                <w:sz w:val="22"/>
              </w:rPr>
              <w:t>Q4 2024</w:t>
            </w:r>
          </w:p>
        </w:tc>
        <w:tc>
          <w:tcPr>
            <w:tcW w:type="dxa" w:w="1080"/>
          </w:tcPr>
          <w:p>
            <w:r>
              <w:rPr>
                <w:rFonts w:ascii="Calibri" w:hAnsi="Calibri"/>
                <w:sz w:val="22"/>
              </w:rPr>
              <w:t>$3.756B</w:t>
            </w:r>
          </w:p>
        </w:tc>
        <w:tc>
          <w:tcPr>
            <w:tcW w:type="dxa" w:w="1080"/>
          </w:tcPr>
          <w:p>
            <w:r>
              <w:rPr>
                <w:rFonts w:ascii="Calibri" w:hAnsi="Calibri"/>
                <w:sz w:val="22"/>
              </w:rPr>
              <w:t>$3.057B</w:t>
            </w:r>
          </w:p>
        </w:tc>
        <w:tc>
          <w:tcPr>
            <w:tcW w:type="dxa" w:w="1080"/>
          </w:tcPr>
          <w:p>
            <w:r>
              <w:rPr>
                <w:rFonts w:ascii="Calibri" w:hAnsi="Calibri"/>
                <w:b/>
                <w:color w:val="30A46C"/>
                <w:sz w:val="22"/>
              </w:rPr>
              <w:t>+22.9%</w:t>
            </w:r>
          </w:p>
        </w:tc>
        <w:tc>
          <w:tcPr>
            <w:tcW w:type="dxa" w:w="1080"/>
          </w:tcPr>
          <w:p>
            <w:r>
              <w:rPr>
                <w:rFonts w:ascii="Calibri" w:hAnsi="Calibri"/>
                <w:sz w:val="22"/>
              </w:rPr>
              <w:t>$0.70</w:t>
            </w:r>
          </w:p>
        </w:tc>
        <w:tc>
          <w:tcPr>
            <w:tcW w:type="dxa" w:w="1080"/>
          </w:tcPr>
          <w:p>
            <w:r>
              <w:rPr>
                <w:rFonts w:ascii="Calibri" w:hAnsi="Calibri"/>
                <w:sz w:val="22"/>
              </w:rPr>
              <w:t>$0.627</w:t>
            </w:r>
          </w:p>
        </w:tc>
        <w:tc>
          <w:tcPr>
            <w:tcW w:type="dxa" w:w="1080"/>
          </w:tcPr>
          <w:p>
            <w:r>
              <w:rPr>
                <w:rFonts w:ascii="Calibri" w:hAnsi="Calibri"/>
                <w:b/>
                <w:color w:val="30A46C"/>
                <w:sz w:val="22"/>
              </w:rPr>
              <w:t>+11.7%</w:t>
            </w:r>
          </w:p>
        </w:tc>
        <w:tc>
          <w:tcPr>
            <w:tcW w:type="dxa" w:w="1080"/>
          </w:tcPr>
          <w:p>
            <w:r>
              <w:rPr>
                <w:rFonts w:ascii="Calibri" w:hAnsi="Calibri"/>
                <w:sz w:val="22"/>
              </w:rPr>
              <w:t>Beat</w:t>
            </w:r>
          </w:p>
        </w:tc>
      </w:tr>
      <w:tr>
        <w:tc>
          <w:tcPr>
            <w:tcW w:type="dxa" w:w="1080"/>
          </w:tcPr>
          <w:p>
            <w:r>
              <w:rPr>
                <w:rFonts w:ascii="Calibri" w:hAnsi="Calibri"/>
                <w:sz w:val="22"/>
              </w:rPr>
              <w:t>Q1 2025</w:t>
            </w:r>
          </w:p>
        </w:tc>
        <w:tc>
          <w:tcPr>
            <w:tcW w:type="dxa" w:w="1080"/>
          </w:tcPr>
          <w:p>
            <w:r>
              <w:rPr>
                <w:rFonts w:ascii="Calibri" w:hAnsi="Calibri"/>
                <w:sz w:val="22"/>
              </w:rPr>
              <w:t>$3.178B</w:t>
            </w:r>
          </w:p>
        </w:tc>
        <w:tc>
          <w:tcPr>
            <w:tcW w:type="dxa" w:w="1080"/>
          </w:tcPr>
          <w:p>
            <w:r>
              <w:rPr>
                <w:rFonts w:ascii="Calibri" w:hAnsi="Calibri"/>
                <w:sz w:val="22"/>
              </w:rPr>
              <w:t>$3.064B</w:t>
            </w:r>
          </w:p>
        </w:tc>
        <w:tc>
          <w:tcPr>
            <w:tcW w:type="dxa" w:w="1080"/>
          </w:tcPr>
          <w:p>
            <w:r>
              <w:rPr>
                <w:rFonts w:ascii="Calibri" w:hAnsi="Calibri"/>
                <w:b/>
                <w:color w:val="30A46C"/>
                <w:sz w:val="22"/>
              </w:rPr>
              <w:t>+3.7%</w:t>
            </w:r>
          </w:p>
        </w:tc>
        <w:tc>
          <w:tcPr>
            <w:tcW w:type="dxa" w:w="1080"/>
          </w:tcPr>
          <w:p>
            <w:r>
              <w:rPr>
                <w:rFonts w:ascii="Calibri" w:hAnsi="Calibri"/>
                <w:sz w:val="22"/>
              </w:rPr>
              <w:t>$0.51</w:t>
            </w:r>
          </w:p>
        </w:tc>
        <w:tc>
          <w:tcPr>
            <w:tcW w:type="dxa" w:w="1080"/>
          </w:tcPr>
          <w:p>
            <w:r>
              <w:rPr>
                <w:rFonts w:ascii="Calibri" w:hAnsi="Calibri"/>
                <w:sz w:val="22"/>
              </w:rPr>
              <w:t>$0.473</w:t>
            </w:r>
          </w:p>
        </w:tc>
        <w:tc>
          <w:tcPr>
            <w:tcW w:type="dxa" w:w="1080"/>
          </w:tcPr>
          <w:p>
            <w:r>
              <w:rPr>
                <w:rFonts w:ascii="Calibri" w:hAnsi="Calibri"/>
                <w:b/>
                <w:color w:val="30A46C"/>
                <w:sz w:val="22"/>
              </w:rPr>
              <w:t>+7.8%</w:t>
            </w:r>
          </w:p>
        </w:tc>
        <w:tc>
          <w:tcPr>
            <w:tcW w:type="dxa" w:w="1080"/>
          </w:tcPr>
          <w:p>
            <w:r>
              <w:rPr>
                <w:rFonts w:ascii="Calibri" w:hAnsi="Calibri"/>
                <w:sz w:val="22"/>
              </w:rPr>
              <w:t>Beat</w:t>
            </w:r>
          </w:p>
        </w:tc>
      </w:tr>
      <w:tr>
        <w:tc>
          <w:tcPr>
            <w:tcW w:type="dxa" w:w="1080"/>
          </w:tcPr>
          <w:p>
            <w:r>
              <w:rPr>
                <w:rFonts w:ascii="Calibri" w:hAnsi="Calibri"/>
                <w:sz w:val="22"/>
              </w:rPr>
              <w:t>Q2 2025</w:t>
            </w:r>
          </w:p>
        </w:tc>
        <w:tc>
          <w:tcPr>
            <w:tcW w:type="dxa" w:w="1080"/>
          </w:tcPr>
          <w:p>
            <w:r>
              <w:rPr>
                <w:rFonts w:ascii="Calibri" w:hAnsi="Calibri"/>
                <w:sz w:val="22"/>
              </w:rPr>
              <w:t>$3.530B</w:t>
            </w:r>
          </w:p>
        </w:tc>
        <w:tc>
          <w:tcPr>
            <w:tcW w:type="dxa" w:w="1080"/>
          </w:tcPr>
          <w:p>
            <w:r>
              <w:rPr>
                <w:rFonts w:ascii="Calibri" w:hAnsi="Calibri"/>
                <w:sz w:val="22"/>
              </w:rPr>
              <w:t>$3.128B</w:t>
            </w:r>
          </w:p>
        </w:tc>
        <w:tc>
          <w:tcPr>
            <w:tcW w:type="dxa" w:w="1080"/>
          </w:tcPr>
          <w:p>
            <w:r>
              <w:rPr>
                <w:rFonts w:ascii="Calibri" w:hAnsi="Calibri"/>
                <w:b/>
                <w:color w:val="30A46C"/>
                <w:sz w:val="22"/>
              </w:rPr>
              <w:t>+12.8%</w:t>
            </w:r>
          </w:p>
        </w:tc>
        <w:tc>
          <w:tcPr>
            <w:tcW w:type="dxa" w:w="1080"/>
          </w:tcPr>
          <w:p>
            <w:r>
              <w:rPr>
                <w:rFonts w:ascii="Calibri" w:hAnsi="Calibri"/>
                <w:sz w:val="22"/>
              </w:rPr>
              <w:t>$0.63</w:t>
            </w:r>
          </w:p>
        </w:tc>
        <w:tc>
          <w:tcPr>
            <w:tcW w:type="dxa" w:w="1080"/>
          </w:tcPr>
          <w:p>
            <w:r>
              <w:rPr>
                <w:rFonts w:ascii="Calibri" w:hAnsi="Calibri"/>
                <w:sz w:val="22"/>
              </w:rPr>
              <w:t>$0.557</w:t>
            </w:r>
          </w:p>
        </w:tc>
        <w:tc>
          <w:tcPr>
            <w:tcW w:type="dxa" w:w="1080"/>
          </w:tcPr>
          <w:p>
            <w:r>
              <w:rPr>
                <w:rFonts w:ascii="Calibri" w:hAnsi="Calibri"/>
                <w:b/>
                <w:color w:val="30A46C"/>
                <w:sz w:val="22"/>
              </w:rPr>
              <w:t>+13.1%</w:t>
            </w:r>
          </w:p>
        </w:tc>
        <w:tc>
          <w:tcPr>
            <w:tcW w:type="dxa" w:w="1080"/>
          </w:tcPr>
          <w:p>
            <w:r>
              <w:rPr>
                <w:rFonts w:ascii="Calibri" w:hAnsi="Calibri"/>
                <w:sz w:val="22"/>
              </w:rPr>
              <w:t>Beat</w:t>
            </w:r>
          </w:p>
        </w:tc>
      </w:tr>
      <w:tr>
        <w:tc>
          <w:tcPr>
            <w:tcW w:type="dxa" w:w="1080"/>
          </w:tcPr>
          <w:p>
            <w:r>
              <w:rPr>
                <w:rFonts w:ascii="Calibri" w:hAnsi="Calibri"/>
                <w:sz w:val="22"/>
              </w:rPr>
              <w:t>Q3 2025</w:t>
            </w:r>
          </w:p>
        </w:tc>
        <w:tc>
          <w:tcPr>
            <w:tcW w:type="dxa" w:w="1080"/>
          </w:tcPr>
          <w:p>
            <w:r>
              <w:rPr>
                <w:rFonts w:ascii="Calibri" w:hAnsi="Calibri"/>
                <w:sz w:val="22"/>
              </w:rPr>
              <w:t>$4.140B</w:t>
            </w:r>
          </w:p>
        </w:tc>
        <w:tc>
          <w:tcPr>
            <w:tcW w:type="dxa" w:w="1080"/>
          </w:tcPr>
          <w:p>
            <w:r>
              <w:rPr>
                <w:rFonts w:ascii="Calibri" w:hAnsi="Calibri"/>
                <w:sz w:val="22"/>
              </w:rPr>
              <w:t>$3.275B</w:t>
            </w:r>
          </w:p>
        </w:tc>
        <w:tc>
          <w:tcPr>
            <w:tcW w:type="dxa" w:w="1080"/>
          </w:tcPr>
          <w:p>
            <w:r>
              <w:rPr>
                <w:rFonts w:ascii="Calibri" w:hAnsi="Calibri"/>
                <w:b/>
                <w:color w:val="30A46C"/>
                <w:sz w:val="22"/>
              </w:rPr>
              <w:t>+26.4%</w:t>
            </w:r>
          </w:p>
        </w:tc>
        <w:tc>
          <w:tcPr>
            <w:tcW w:type="dxa" w:w="1080"/>
          </w:tcPr>
          <w:p>
            <w:r>
              <w:rPr>
                <w:rFonts w:ascii="Calibri" w:hAnsi="Calibri"/>
                <w:sz w:val="22"/>
              </w:rPr>
              <w:t>$0.68</w:t>
            </w:r>
          </w:p>
        </w:tc>
        <w:tc>
          <w:tcPr>
            <w:tcW w:type="dxa" w:w="1080"/>
          </w:tcPr>
          <w:p>
            <w:r>
              <w:rPr>
                <w:rFonts w:ascii="Calibri" w:hAnsi="Calibri"/>
                <w:sz w:val="22"/>
              </w:rPr>
              <w:t>$0.606</w:t>
            </w:r>
          </w:p>
        </w:tc>
        <w:tc>
          <w:tcPr>
            <w:tcW w:type="dxa" w:w="1080"/>
          </w:tcPr>
          <w:p>
            <w:r>
              <w:rPr>
                <w:rFonts w:ascii="Calibri" w:hAnsi="Calibri"/>
                <w:b/>
                <w:color w:val="30A46C"/>
                <w:sz w:val="22"/>
              </w:rPr>
              <w:t>+12.2%</w:t>
            </w:r>
          </w:p>
        </w:tc>
        <w:tc>
          <w:tcPr>
            <w:tcW w:type="dxa" w:w="1080"/>
          </w:tcPr>
          <w:p>
            <w:r>
              <w:rPr>
                <w:rFonts w:ascii="Calibri" w:hAnsi="Calibri"/>
                <w:sz w:val="22"/>
              </w:rPr>
              <w:t>Beat</w:t>
            </w:r>
          </w:p>
        </w:tc>
      </w:tr>
      <w:tr>
        <w:tc>
          <w:tcPr>
            <w:tcW w:type="dxa" w:w="1080"/>
          </w:tcPr>
          <w:p>
            <w:r>
              <w:rPr>
                <w:rFonts w:ascii="Calibri" w:hAnsi="Calibri"/>
                <w:sz w:val="22"/>
              </w:rPr>
              <w:t>Q4 2025</w:t>
            </w:r>
          </w:p>
        </w:tc>
        <w:tc>
          <w:tcPr>
            <w:tcW w:type="dxa" w:w="1080"/>
          </w:tcPr>
          <w:p>
            <w:r>
              <w:rPr>
                <w:rFonts w:ascii="Calibri" w:hAnsi="Calibri"/>
                <w:sz w:val="22"/>
              </w:rPr>
              <w:t>$4.024B</w:t>
            </w:r>
          </w:p>
        </w:tc>
        <w:tc>
          <w:tcPr>
            <w:tcW w:type="dxa" w:w="1080"/>
          </w:tcPr>
          <w:p>
            <w:r>
              <w:rPr>
                <w:rFonts w:ascii="Calibri" w:hAnsi="Calibri"/>
                <w:sz w:val="22"/>
              </w:rPr>
              <w:t>$3.228B</w:t>
            </w:r>
          </w:p>
        </w:tc>
        <w:tc>
          <w:tcPr>
            <w:tcW w:type="dxa" w:w="1080"/>
          </w:tcPr>
          <w:p>
            <w:r>
              <w:rPr>
                <w:rFonts w:ascii="Calibri" w:hAnsi="Calibri"/>
                <w:b/>
                <w:color w:val="30A46C"/>
                <w:sz w:val="22"/>
              </w:rPr>
              <w:t>+24.7%</w:t>
            </w:r>
          </w:p>
        </w:tc>
        <w:tc>
          <w:tcPr>
            <w:tcW w:type="dxa" w:w="1080"/>
          </w:tcPr>
          <w:p>
            <w:r>
              <w:rPr>
                <w:rFonts w:ascii="Calibri" w:hAnsi="Calibri"/>
                <w:sz w:val="22"/>
              </w:rPr>
              <w:t>$0.78</w:t>
            </w:r>
          </w:p>
        </w:tc>
        <w:tc>
          <w:tcPr>
            <w:tcW w:type="dxa" w:w="1080"/>
          </w:tcPr>
          <w:p>
            <w:r>
              <w:rPr>
                <w:rFonts w:ascii="Calibri" w:hAnsi="Calibri"/>
                <w:sz w:val="22"/>
              </w:rPr>
              <w:t>$0.678</w:t>
            </w:r>
          </w:p>
        </w:tc>
        <w:tc>
          <w:tcPr>
            <w:tcW w:type="dxa" w:w="1080"/>
          </w:tcPr>
          <w:p>
            <w:r>
              <w:rPr>
                <w:rFonts w:ascii="Calibri" w:hAnsi="Calibri"/>
                <w:b/>
                <w:color w:val="30A46C"/>
                <w:sz w:val="22"/>
              </w:rPr>
              <w:t>+15.0%</w:t>
            </w:r>
          </w:p>
        </w:tc>
        <w:tc>
          <w:tcPr>
            <w:tcW w:type="dxa" w:w="1080"/>
          </w:tcPr>
          <w:p>
            <w:r>
              <w:rPr>
                <w:rFonts w:ascii="Calibri" w:hAnsi="Calibri"/>
                <w:sz w:val="22"/>
              </w:rPr>
              <w:t>Beat</w:t>
            </w:r>
          </w:p>
        </w:tc>
      </w:tr>
      <w:tr>
        <w:tc>
          <w:tcPr>
            <w:tcW w:type="dxa" w:w="1080"/>
          </w:tcPr>
          <w:p>
            <w:r>
              <w:rPr>
                <w:rFonts w:ascii="Calibri" w:hAnsi="Calibri"/>
                <w:sz w:val="22"/>
              </w:rPr>
              <w:t>Q1 2026</w:t>
            </w:r>
          </w:p>
        </w:tc>
        <w:tc>
          <w:tcPr>
            <w:tcW w:type="dxa" w:w="1080"/>
          </w:tcPr>
          <w:p>
            <w:r>
              <w:rPr>
                <w:rFonts w:ascii="Calibri" w:hAnsi="Calibri"/>
                <w:sz w:val="22"/>
              </w:rPr>
              <w:t>$4.887B</w:t>
            </w:r>
          </w:p>
        </w:tc>
        <w:tc>
          <w:tcPr>
            <w:tcW w:type="dxa" w:w="1080"/>
          </w:tcPr>
          <w:p>
            <w:r>
              <w:rPr>
                <w:rFonts w:ascii="Calibri" w:hAnsi="Calibri"/>
                <w:sz w:val="22"/>
              </w:rPr>
              <w:t>$3.495B</w:t>
            </w:r>
          </w:p>
        </w:tc>
        <w:tc>
          <w:tcPr>
            <w:tcW w:type="dxa" w:w="1080"/>
          </w:tcPr>
          <w:p>
            <w:r>
              <w:rPr>
                <w:rFonts w:ascii="Calibri" w:hAnsi="Calibri"/>
                <w:b/>
                <w:color w:val="30A46C"/>
                <w:sz w:val="22"/>
              </w:rPr>
              <w:t>+39.8%</w:t>
            </w:r>
          </w:p>
        </w:tc>
        <w:tc>
          <w:tcPr>
            <w:tcW w:type="dxa" w:w="1080"/>
          </w:tcPr>
          <w:p>
            <w:r>
              <w:rPr>
                <w:rFonts w:ascii="Calibri" w:hAnsi="Calibri"/>
                <w:sz w:val="22"/>
              </w:rPr>
              <w:t>$0.58</w:t>
            </w:r>
          </w:p>
        </w:tc>
        <w:tc>
          <w:tcPr>
            <w:tcW w:type="dxa" w:w="1080"/>
          </w:tcPr>
          <w:p>
            <w:r>
              <w:rPr>
                <w:rFonts w:ascii="Calibri" w:hAnsi="Calibri"/>
                <w:sz w:val="22"/>
              </w:rPr>
              <w:t>$0.494</w:t>
            </w:r>
          </w:p>
        </w:tc>
        <w:tc>
          <w:tcPr>
            <w:tcW w:type="dxa" w:w="1080"/>
          </w:tcPr>
          <w:p>
            <w:r>
              <w:rPr>
                <w:rFonts w:ascii="Calibri" w:hAnsi="Calibri"/>
                <w:b/>
                <w:color w:val="30A46C"/>
                <w:sz w:val="22"/>
              </w:rPr>
              <w:t>+17.4%</w:t>
            </w:r>
          </w:p>
        </w:tc>
        <w:tc>
          <w:tcPr>
            <w:tcW w:type="dxa" w:w="1080"/>
          </w:tcPr>
          <w:p>
            <w:r>
              <w:rPr>
                <w:rFonts w:ascii="Calibri" w:hAnsi="Calibri"/>
                <w:sz w:val="22"/>
              </w:rPr>
              <w:t>Beat</w:t>
            </w:r>
          </w:p>
        </w:tc>
      </w:tr>
      <w:tr>
        <w:tc>
          <w:tcPr>
            <w:tcW w:type="dxa" w:w="1080"/>
          </w:tcPr>
          <w:p>
            <w:r>
              <w:rPr>
                <w:rFonts w:ascii="Calibri" w:hAnsi="Calibri"/>
                <w:sz w:val="22"/>
              </w:rPr>
              <w:t>Q2 2026</w:t>
            </w:r>
          </w:p>
        </w:tc>
        <w:tc>
          <w:tcPr>
            <w:tcW w:type="dxa" w:w="1080"/>
          </w:tcPr>
          <w:p>
            <w:r>
              <w:rPr>
                <w:rFonts w:ascii="Calibri" w:hAnsi="Calibri"/>
                <w:b/>
                <w:color w:val="30A46C"/>
                <w:sz w:val="22"/>
              </w:rPr>
              <w:t>$7.088B</w:t>
            </w:r>
          </w:p>
        </w:tc>
        <w:tc>
          <w:tcPr>
            <w:tcW w:type="dxa" w:w="1080"/>
          </w:tcPr>
          <w:p>
            <w:r>
              <w:rPr>
                <w:rFonts w:ascii="Calibri" w:hAnsi="Calibri"/>
                <w:sz w:val="22"/>
              </w:rPr>
              <w:t>$3.643B</w:t>
            </w:r>
          </w:p>
        </w:tc>
        <w:tc>
          <w:tcPr>
            <w:tcW w:type="dxa" w:w="1080"/>
          </w:tcPr>
          <w:p>
            <w:r>
              <w:rPr>
                <w:rFonts w:ascii="Calibri" w:hAnsi="Calibri"/>
                <w:b/>
                <w:color w:val="30A46C"/>
                <w:sz w:val="22"/>
              </w:rPr>
              <w:t>+94.6%</w:t>
            </w:r>
          </w:p>
        </w:tc>
        <w:tc>
          <w:tcPr>
            <w:tcW w:type="dxa" w:w="1080"/>
          </w:tcPr>
          <w:p>
            <w:r>
              <w:rPr>
                <w:rFonts w:ascii="Calibri" w:hAnsi="Calibri"/>
                <w:b/>
                <w:color w:val="30A46C"/>
                <w:sz w:val="22"/>
              </w:rPr>
              <w:t>$0.64</w:t>
            </w:r>
          </w:p>
        </w:tc>
        <w:tc>
          <w:tcPr>
            <w:tcW w:type="dxa" w:w="1080"/>
          </w:tcPr>
          <w:p>
            <w:r>
              <w:rPr>
                <w:rFonts w:ascii="Calibri" w:hAnsi="Calibri"/>
                <w:sz w:val="22"/>
              </w:rPr>
              <w:t>$0.485</w:t>
            </w:r>
          </w:p>
        </w:tc>
        <w:tc>
          <w:tcPr>
            <w:tcW w:type="dxa" w:w="1080"/>
          </w:tcPr>
          <w:p>
            <w:r>
              <w:rPr>
                <w:rFonts w:ascii="Calibri" w:hAnsi="Calibri"/>
                <w:b/>
                <w:color w:val="30A46C"/>
                <w:sz w:val="22"/>
              </w:rPr>
              <w:t>+32.0%</w:t>
            </w:r>
          </w:p>
        </w:tc>
        <w:tc>
          <w:tcPr>
            <w:tcW w:type="dxa" w:w="108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BKR has beaten IET order consensus in every one of the last 8 quarters, with the magnitude of the beat accelerating sharply — from low-single-digit beats in early 2024 to a near-doubling of consensus in Q2 2026 — reflecting both structural demand acceleration and a persistent tendency for the Street to underestimate order momentum. Adjusted EPS has also beaten in all 8 quarters, consistently by 10–30%+.</w:t>
      </w:r>
    </w:p>
    <w:p>
      <w:r>
        <w:rPr>
          <w:rFonts w:ascii="Calibri" w:hAnsi="Calibri"/>
          <w:b/>
          <w:color w:val="525866"/>
          <w:sz w:val="22"/>
        </w:rPr>
        <w:t xml:space="preserve">Source: </w:t>
      </w:r>
      <w:r>
        <w:rPr>
          <w:rFonts w:ascii="Calibri" w:hAnsi="Calibri"/>
          <w:color w:val="525866"/>
          <w:sz w:val="22"/>
        </w:rPr>
        <w:t>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Management upgraded its full-year tone from 'slightly below midpoint' at Q1 earnings to 'confident in achieving the midpoint' in the Q2 press release, while raising the Horizon 2 IET order target from $40B+ to $45B+ — a meaningful positive shift driven by the Chart close and accelerating power/LNG demand.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w:t>
            </w:r>
          </w:p>
        </w:tc>
        <w:tc>
          <w:tcPr>
            <w:tcW w:type="dxa" w:w="1728"/>
            <w:shd w:val="clear" w:color="auto" w:fill="3B4259"/>
          </w:tcPr>
          <w:p>
            <w:r>
              <w:rPr>
                <w:rFonts w:ascii="Calibri" w:hAnsi="Calibri"/>
                <w:b/>
                <w:color w:val="FFFFFF"/>
                <w:sz w:val="22"/>
              </w:rPr>
              <w:t>Revised Guidance / Post-Q1 Update</w:t>
            </w:r>
          </w:p>
        </w:tc>
        <w:tc>
          <w:tcPr>
            <w:tcW w:type="dxa" w:w="1728"/>
            <w:shd w:val="clear" w:color="auto" w:fill="3B4259"/>
          </w:tcPr>
          <w:p>
            <w:r>
              <w:rPr>
                <w:rFonts w:ascii="Calibri" w:hAnsi="Calibri"/>
                <w:b/>
                <w:color w:val="FFFFFF"/>
                <w:sz w:val="22"/>
              </w:rPr>
              <w:t>Current Consensus (pre-print)</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Total Revenue</w:t>
            </w:r>
          </w:p>
        </w:tc>
        <w:tc>
          <w:tcPr>
            <w:tcW w:type="dxa" w:w="1728"/>
          </w:tcPr>
          <w:p>
            <w:r>
              <w:rPr>
                <w:rFonts w:ascii="Calibri" w:hAnsi="Calibri"/>
                <w:sz w:val="22"/>
              </w:rPr>
              <w:t>$6.5B (midpoint of range)</w:t>
            </w:r>
          </w:p>
        </w:tc>
        <w:tc>
          <w:tcPr>
            <w:tcW w:type="dxa" w:w="1728"/>
          </w:tcPr>
          <w:p>
            <w:r>
              <w:rPr>
                <w:rFonts w:ascii="Calibri" w:hAnsi="Calibri"/>
                <w:sz w:val="22"/>
              </w:rPr>
              <w:t>—</w:t>
            </w:r>
          </w:p>
        </w:tc>
        <w:tc>
          <w:tcPr>
            <w:tcW w:type="dxa" w:w="1728"/>
          </w:tcPr>
          <w:p>
            <w:r>
              <w:rPr>
                <w:rFonts w:ascii="Calibri" w:hAnsi="Calibri"/>
                <w:sz w:val="22"/>
              </w:rPr>
              <w:t>$6.50B</w:t>
            </w:r>
          </w:p>
        </w:tc>
        <w:tc>
          <w:tcPr>
            <w:tcW w:type="dxa" w:w="1728"/>
          </w:tcPr>
          <w:p>
            <w:r>
              <w:rPr>
                <w:rFonts w:ascii="Calibri" w:hAnsi="Calibri"/>
                <w:sz w:val="22"/>
              </w:rPr>
              <w:t>No post-Q1 revision; consensus aligned with guidance midpoint</w:t>
            </w:r>
          </w:p>
        </w:tc>
      </w:tr>
      <w:tr>
        <w:tc>
          <w:tcPr>
            <w:tcW w:type="dxa" w:w="1728"/>
          </w:tcPr>
          <w:p>
            <w:r>
              <w:rPr>
                <w:rFonts w:ascii="Calibri" w:hAnsi="Calibri"/>
                <w:sz w:val="22"/>
              </w:rPr>
              <w:t>Q2 2026 Adj. EBITDA</w:t>
            </w:r>
          </w:p>
        </w:tc>
        <w:tc>
          <w:tcPr>
            <w:tcW w:type="dxa" w:w="1728"/>
          </w:tcPr>
          <w:p>
            <w:r>
              <w:rPr>
                <w:rFonts w:ascii="Calibri" w:hAnsi="Calibri"/>
                <w:sz w:val="22"/>
              </w:rPr>
              <w:t>$1.13B (midpoint of range)</w:t>
            </w:r>
          </w:p>
        </w:tc>
        <w:tc>
          <w:tcPr>
            <w:tcW w:type="dxa" w:w="1728"/>
          </w:tcPr>
          <w:p>
            <w:r>
              <w:rPr>
                <w:rFonts w:ascii="Calibri" w:hAnsi="Calibri"/>
                <w:sz w:val="22"/>
              </w:rPr>
              <w:t>—</w:t>
            </w:r>
          </w:p>
        </w:tc>
        <w:tc>
          <w:tcPr>
            <w:tcW w:type="dxa" w:w="1728"/>
          </w:tcPr>
          <w:p>
            <w:r>
              <w:rPr>
                <w:rFonts w:ascii="Calibri" w:hAnsi="Calibri"/>
                <w:sz w:val="22"/>
              </w:rPr>
              <w:t>$1.14B</w:t>
            </w:r>
          </w:p>
        </w:tc>
        <w:tc>
          <w:tcPr>
            <w:tcW w:type="dxa" w:w="1728"/>
          </w:tcPr>
          <w:p>
            <w:r>
              <w:rPr>
                <w:rFonts w:ascii="Calibri" w:hAnsi="Calibri"/>
                <w:sz w:val="22"/>
              </w:rPr>
              <w:t>Actual of $1.231B exceeded the high end of the guided range</w:t>
            </w:r>
          </w:p>
        </w:tc>
      </w:tr>
      <w:tr>
        <w:tc>
          <w:tcPr>
            <w:tcW w:type="dxa" w:w="1728"/>
          </w:tcPr>
          <w:p>
            <w:r>
              <w:rPr>
                <w:rFonts w:ascii="Calibri" w:hAnsi="Calibri"/>
                <w:sz w:val="22"/>
              </w:rPr>
              <w:t>Q2 2026 IET EBITDA</w:t>
            </w:r>
          </w:p>
        </w:tc>
        <w:tc>
          <w:tcPr>
            <w:tcW w:type="dxa" w:w="1728"/>
          </w:tcPr>
          <w:p>
            <w:r>
              <w:rPr>
                <w:rFonts w:ascii="Calibri" w:hAnsi="Calibri"/>
                <w:sz w:val="22"/>
              </w:rPr>
              <w:t>$670M</w:t>
            </w:r>
          </w:p>
        </w:tc>
        <w:tc>
          <w:tcPr>
            <w:tcW w:type="dxa" w:w="1728"/>
          </w:tcPr>
          <w:p>
            <w:r>
              <w:rPr>
                <w:rFonts w:ascii="Calibri" w:hAnsi="Calibri"/>
                <w:sz w:val="22"/>
              </w:rPr>
              <w:t>—</w:t>
            </w:r>
          </w:p>
        </w:tc>
        <w:tc>
          <w:tcPr>
            <w:tcW w:type="dxa" w:w="1728"/>
          </w:tcPr>
          <w:p>
            <w:r>
              <w:rPr>
                <w:rFonts w:ascii="Calibri" w:hAnsi="Calibri"/>
                <w:sz w:val="22"/>
              </w:rPr>
              <w:t>~$674M</w:t>
            </w:r>
          </w:p>
        </w:tc>
        <w:tc>
          <w:tcPr>
            <w:tcW w:type="dxa" w:w="1728"/>
          </w:tcPr>
          <w:p>
            <w:r>
              <w:rPr>
                <w:rFonts w:ascii="Calibri" w:hAnsi="Calibri"/>
                <w:sz w:val="22"/>
              </w:rPr>
              <w:t>Actual of $678M slightly above guidance; IET margin of 20.6% vs. guided 'modestly up' from Q1's 20.2%</w:t>
            </w:r>
          </w:p>
        </w:tc>
      </w:tr>
      <w:tr>
        <w:tc>
          <w:tcPr>
            <w:tcW w:type="dxa" w:w="1728"/>
          </w:tcPr>
          <w:p>
            <w:r>
              <w:rPr>
                <w:rFonts w:ascii="Calibri" w:hAnsi="Calibri"/>
                <w:sz w:val="22"/>
              </w:rPr>
              <w:t>Q2 2026 OFSE Revenue</w:t>
            </w:r>
          </w:p>
        </w:tc>
        <w:tc>
          <w:tcPr>
            <w:tcW w:type="dxa" w:w="1728"/>
          </w:tcPr>
          <w:p>
            <w:r>
              <w:rPr>
                <w:rFonts w:ascii="Calibri" w:hAnsi="Calibri"/>
                <w:sz w:val="22"/>
              </w:rPr>
              <w:t>$3.2B; Middle East &gt;20% sequential decline</w:t>
            </w:r>
          </w:p>
        </w:tc>
        <w:tc>
          <w:tcPr>
            <w:tcW w:type="dxa" w:w="1728"/>
          </w:tcPr>
          <w:p>
            <w:r>
              <w:rPr>
                <w:rFonts w:ascii="Calibri" w:hAnsi="Calibri"/>
                <w:sz w:val="22"/>
              </w:rPr>
              <w:t>—</w:t>
            </w:r>
          </w:p>
        </w:tc>
        <w:tc>
          <w:tcPr>
            <w:tcW w:type="dxa" w:w="1728"/>
          </w:tcPr>
          <w:p>
            <w:r>
              <w:rPr>
                <w:rFonts w:ascii="Calibri" w:hAnsi="Calibri"/>
                <w:sz w:val="22"/>
              </w:rPr>
              <w:t>$3.21B</w:t>
            </w:r>
          </w:p>
        </w:tc>
        <w:tc>
          <w:tcPr>
            <w:tcW w:type="dxa" w:w="1728"/>
          </w:tcPr>
          <w:p>
            <w:r>
              <w:rPr>
                <w:rFonts w:ascii="Calibri" w:hAnsi="Calibri"/>
                <w:sz w:val="22"/>
              </w:rPr>
              <w:t>Actual of $3.45B significantly above guidance; Middle East recovered faster than feared</w:t>
            </w:r>
          </w:p>
        </w:tc>
      </w:tr>
      <w:tr>
        <w:tc>
          <w:tcPr>
            <w:tcW w:type="dxa" w:w="1728"/>
          </w:tcPr>
          <w:p>
            <w:r>
              <w:rPr>
                <w:rFonts w:ascii="Calibri" w:hAnsi="Calibri"/>
                <w:sz w:val="22"/>
              </w:rPr>
              <w:t>Q2 2026 OFSE EBITDA</w:t>
            </w:r>
          </w:p>
        </w:tc>
        <w:tc>
          <w:tcPr>
            <w:tcW w:type="dxa" w:w="1728"/>
          </w:tcPr>
          <w:p>
            <w:r>
              <w:rPr>
                <w:rFonts w:ascii="Calibri" w:hAnsi="Calibri"/>
                <w:sz w:val="22"/>
              </w:rPr>
              <w:t>$540M; sequential margin decline expected</w:t>
            </w:r>
          </w:p>
        </w:tc>
        <w:tc>
          <w:tcPr>
            <w:tcW w:type="dxa" w:w="1728"/>
          </w:tcPr>
          <w:p>
            <w:r>
              <w:rPr>
                <w:rFonts w:ascii="Calibri" w:hAnsi="Calibri"/>
                <w:sz w:val="22"/>
              </w:rPr>
              <w:t>—</w:t>
            </w:r>
          </w:p>
        </w:tc>
        <w:tc>
          <w:tcPr>
            <w:tcW w:type="dxa" w:w="1728"/>
          </w:tcPr>
          <w:p>
            <w:r>
              <w:rPr>
                <w:rFonts w:ascii="Calibri" w:hAnsi="Calibri"/>
                <w:sz w:val="22"/>
              </w:rPr>
              <w:t>~$542M</w:t>
            </w:r>
          </w:p>
        </w:tc>
        <w:tc>
          <w:tcPr>
            <w:tcW w:type="dxa" w:w="1728"/>
          </w:tcPr>
          <w:p>
            <w:r>
              <w:rPr>
                <w:rFonts w:ascii="Calibri" w:hAnsi="Calibri"/>
                <w:sz w:val="22"/>
              </w:rPr>
              <w:t>Actual of $605M well above guidance; margin of 17.5% vs. guided sequential decline</w:t>
            </w:r>
          </w:p>
        </w:tc>
      </w:tr>
      <w:tr>
        <w:tc>
          <w:tcPr>
            <w:tcW w:type="dxa" w:w="1728"/>
          </w:tcPr>
          <w:p>
            <w:r>
              <w:rPr>
                <w:rFonts w:ascii="Calibri" w:hAnsi="Calibri"/>
                <w:sz w:val="22"/>
              </w:rPr>
              <w:t>FY 2026 Total Revenue</w:t>
            </w:r>
          </w:p>
        </w:tc>
        <w:tc>
          <w:tcPr>
            <w:tcW w:type="dxa" w:w="1728"/>
          </w:tcPr>
          <w:p>
            <w:r>
              <w:rPr>
                <w:rFonts w:ascii="Calibri" w:hAnsi="Calibri"/>
                <w:sz w:val="22"/>
              </w:rPr>
              <w:t>Maintained range; 'slightly below midpoint'</w:t>
            </w:r>
          </w:p>
        </w:tc>
        <w:tc>
          <w:tcPr>
            <w:tcW w:type="dxa" w:w="1728"/>
          </w:tcPr>
          <w:p>
            <w:r>
              <w:rPr>
                <w:rFonts w:ascii="Calibri" w:hAnsi="Calibri"/>
                <w:sz w:val="22"/>
              </w:rPr>
              <w:t>↑ Upgraded to 'confident in achieving the midpoint' (Q2 press release, Jul 26)</w:t>
            </w:r>
          </w:p>
        </w:tc>
        <w:tc>
          <w:tcPr>
            <w:tcW w:type="dxa" w:w="1728"/>
          </w:tcPr>
          <w:p>
            <w:r>
              <w:rPr>
                <w:rFonts w:ascii="Calibri" w:hAnsi="Calibri"/>
                <w:sz w:val="22"/>
              </w:rPr>
              <w:t>$27.23B</w:t>
            </w:r>
          </w:p>
        </w:tc>
        <w:tc>
          <w:tcPr>
            <w:tcW w:type="dxa" w:w="1728"/>
          </w:tcPr>
          <w:p>
            <w:r>
              <w:rPr>
                <w:rFonts w:ascii="Calibri" w:hAnsi="Calibri"/>
                <w:sz w:val="22"/>
              </w:rPr>
              <w:t>↑ Tone upgrade at Q2 press release; Chart acquisition adds incremental revenue from July 16 close</w:t>
            </w:r>
          </w:p>
        </w:tc>
      </w:tr>
      <w:tr>
        <w:tc>
          <w:tcPr>
            <w:tcW w:type="dxa" w:w="1728"/>
          </w:tcPr>
          <w:p>
            <w:r>
              <w:rPr>
                <w:rFonts w:ascii="Calibri" w:hAnsi="Calibri"/>
                <w:sz w:val="22"/>
              </w:rPr>
              <w:t>FY 2026 Adj. EBITDA</w:t>
            </w:r>
          </w:p>
        </w:tc>
        <w:tc>
          <w:tcPr>
            <w:tcW w:type="dxa" w:w="1728"/>
          </w:tcPr>
          <w:p>
            <w:r>
              <w:rPr>
                <w:rFonts w:ascii="Calibri" w:hAnsi="Calibri"/>
                <w:sz w:val="22"/>
              </w:rPr>
              <w:t>Maintained range; 'slightly below midpoint'</w:t>
            </w:r>
          </w:p>
        </w:tc>
        <w:tc>
          <w:tcPr>
            <w:tcW w:type="dxa" w:w="1728"/>
          </w:tcPr>
          <w:p>
            <w:r>
              <w:rPr>
                <w:rFonts w:ascii="Calibri" w:hAnsi="Calibri"/>
                <w:sz w:val="22"/>
              </w:rPr>
              <w:t>↑ Upgraded to 'confident in achieving the midpoint' (Q2 press release, Jul 26)</w:t>
            </w:r>
          </w:p>
        </w:tc>
        <w:tc>
          <w:tcPr>
            <w:tcW w:type="dxa" w:w="1728"/>
          </w:tcPr>
          <w:p>
            <w:r>
              <w:rPr>
                <w:rFonts w:ascii="Calibri" w:hAnsi="Calibri"/>
                <w:sz w:val="22"/>
              </w:rPr>
              <w:t>$4.83B</w:t>
            </w:r>
          </w:p>
        </w:tc>
        <w:tc>
          <w:tcPr>
            <w:tcW w:type="dxa" w:w="1728"/>
          </w:tcPr>
          <w:p>
            <w:r>
              <w:rPr>
                <w:rFonts w:ascii="Calibri" w:hAnsi="Calibri"/>
                <w:sz w:val="22"/>
              </w:rPr>
              <w:t>↑ Positive tone shift; OFSE beat in Q2 reduces H2 recovery burden</w:t>
            </w:r>
          </w:p>
        </w:tc>
      </w:tr>
      <w:tr>
        <w:tc>
          <w:tcPr>
            <w:tcW w:type="dxa" w:w="1728"/>
          </w:tcPr>
          <w:p>
            <w:r>
              <w:rPr>
                <w:rFonts w:ascii="Calibri" w:hAnsi="Calibri"/>
                <w:sz w:val="22"/>
              </w:rPr>
              <w:t>FY 2026 IET EBITDA</w:t>
            </w:r>
          </w:p>
        </w:tc>
        <w:tc>
          <w:tcPr>
            <w:tcW w:type="dxa" w:w="1728"/>
          </w:tcPr>
          <w:p>
            <w:r>
              <w:rPr>
                <w:rFonts w:ascii="Calibri" w:hAnsi="Calibri"/>
                <w:sz w:val="22"/>
              </w:rPr>
              <w:t>'At least the midpoint of $2.7B guidance'</w:t>
            </w:r>
          </w:p>
        </w:tc>
        <w:tc>
          <w:tcPr>
            <w:tcW w:type="dxa" w:w="1728"/>
          </w:tcPr>
          <w:p>
            <w:r>
              <w:rPr>
                <w:rFonts w:ascii="Calibri" w:hAnsi="Calibri"/>
                <w:sz w:val="22"/>
              </w:rPr>
              <w:t>—</w:t>
            </w:r>
          </w:p>
        </w:tc>
        <w:tc>
          <w:tcPr>
            <w:tcW w:type="dxa" w:w="1728"/>
          </w:tcPr>
          <w:p>
            <w:r>
              <w:rPr>
                <w:rFonts w:ascii="Calibri" w:hAnsi="Calibri"/>
                <w:sz w:val="22"/>
              </w:rPr>
              <w:t>N/A (FY IET EBITDA not separately tracked in VA)</w:t>
            </w:r>
          </w:p>
        </w:tc>
        <w:tc>
          <w:tcPr>
            <w:tcW w:type="dxa" w:w="1728"/>
          </w:tcPr>
          <w:p>
            <w:r>
              <w:rPr>
                <w:rFonts w:ascii="Calibri" w:hAnsi="Calibri"/>
                <w:sz w:val="22"/>
              </w:rPr>
              <w:t>Unchanged; IET H1 run-rate of ~$1.36B supports $2.7B+ full-year</w:t>
            </w:r>
          </w:p>
        </w:tc>
      </w:tr>
      <w:tr>
        <w:tc>
          <w:tcPr>
            <w:tcW w:type="dxa" w:w="1728"/>
          </w:tcPr>
          <w:p>
            <w:r>
              <w:rPr>
                <w:rFonts w:ascii="Calibri" w:hAnsi="Calibri"/>
                <w:sz w:val="22"/>
              </w:rPr>
              <w:t>FY 2026 IET Orders</w:t>
            </w:r>
          </w:p>
        </w:tc>
        <w:tc>
          <w:tcPr>
            <w:tcW w:type="dxa" w:w="1728"/>
          </w:tcPr>
          <w:p>
            <w:r>
              <w:rPr>
                <w:rFonts w:ascii="Calibri" w:hAnsi="Calibri"/>
                <w:sz w:val="22"/>
              </w:rPr>
              <w:t>'At least $14.5B midpoint'; Horizon 2 target &gt;$40B</w:t>
            </w:r>
          </w:p>
        </w:tc>
        <w:tc>
          <w:tcPr>
            <w:tcW w:type="dxa" w:w="1728"/>
          </w:tcPr>
          <w:p>
            <w:r>
              <w:rPr>
                <w:rFonts w:ascii="Calibri" w:hAnsi="Calibri"/>
                <w:sz w:val="22"/>
              </w:rPr>
              <w:t>↑ Raised: FY 2026 IET order guidance raised; Horizon 2 target raised to &gt;$45B (Q2 press release, Jul 26)</w:t>
            </w:r>
          </w:p>
        </w:tc>
        <w:tc>
          <w:tcPr>
            <w:tcW w:type="dxa" w:w="1728"/>
          </w:tcPr>
          <w:p>
            <w:r>
              <w:rPr>
                <w:rFonts w:ascii="Calibri" w:hAnsi="Calibri"/>
                <w:sz w:val="22"/>
              </w:rPr>
              <w:t>$14.67B (FY 2026)</w:t>
            </w:r>
          </w:p>
        </w:tc>
        <w:tc>
          <w:tcPr>
            <w:tcW w:type="dxa" w:w="1728"/>
          </w:tcPr>
          <w:p>
            <w:r>
              <w:rPr>
                <w:rFonts w:ascii="Calibri" w:hAnsi="Calibri"/>
                <w:sz w:val="22"/>
              </w:rPr>
              <w:t>↑ Significant raise driven by Q2 record orders of $7.1B; H1 IET orders already ~$12B</w:t>
            </w:r>
          </w:p>
        </w:tc>
      </w:tr>
      <w:tr>
        <w:tc>
          <w:tcPr>
            <w:tcW w:type="dxa" w:w="1728"/>
          </w:tcPr>
          <w:p>
            <w:r>
              <w:rPr>
                <w:rFonts w:ascii="Calibri" w:hAnsi="Calibri"/>
                <w:sz w:val="22"/>
              </w:rPr>
              <w:t>Chart Acquisition Close</w:t>
            </w:r>
          </w:p>
        </w:tc>
        <w:tc>
          <w:tcPr>
            <w:tcW w:type="dxa" w:w="1728"/>
          </w:tcPr>
          <w:p>
            <w:r>
              <w:rPr>
                <w:rFonts w:ascii="Calibri" w:hAnsi="Calibri"/>
                <w:sz w:val="22"/>
              </w:rPr>
              <w:t>Expected Q2 2026 (timing may evolve per EU review)</w:t>
            </w:r>
          </w:p>
        </w:tc>
        <w:tc>
          <w:tcPr>
            <w:tcW w:type="dxa" w:w="1728"/>
          </w:tcPr>
          <w:p>
            <w:r>
              <w:rPr>
                <w:rFonts w:ascii="Calibri" w:hAnsi="Calibri"/>
                <w:sz w:val="22"/>
              </w:rPr>
              <w:t>↑ Completed July 16, 2026 (8-K filed); $2B in new term loans secured</w:t>
            </w:r>
          </w:p>
        </w:tc>
        <w:tc>
          <w:tcPr>
            <w:tcW w:type="dxa" w:w="1728"/>
          </w:tcPr>
          <w:p>
            <w:r>
              <w:rPr>
                <w:rFonts w:ascii="Calibri" w:hAnsi="Calibri"/>
                <w:sz w:val="22"/>
              </w:rPr>
              <w:t>N/A</w:t>
            </w:r>
          </w:p>
        </w:tc>
        <w:tc>
          <w:tcPr>
            <w:tcW w:type="dxa" w:w="1728"/>
          </w:tcPr>
          <w:p>
            <w:r>
              <w:rPr>
                <w:rFonts w:ascii="Calibri" w:hAnsi="Calibri"/>
                <w:sz w:val="22"/>
              </w:rPr>
              <w:t>↑ Closed on schedule; integration and synergy delivery now the focus</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 2026 were revised modestly higher after Q1 earnings but remained well below what BKR actually delivered — particularly on IET orders, where the Street consistently underestimates demand; FY 2026 EBITDA consensus has drifted up ~1% since Q1 earnings, tracking guidance but now likely to see a meaningful step-up post Q2 beat.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28, 2026 (5 days post-Q1)</w:t>
            </w:r>
          </w:p>
        </w:tc>
        <w:tc>
          <w:tcPr>
            <w:tcW w:type="dxa" w:w="1080"/>
            <w:shd w:val="clear" w:color="auto" w:fill="3B4259"/>
          </w:tcPr>
          <w:p>
            <w:r>
              <w:rPr>
                <w:rFonts w:ascii="Calibri" w:hAnsi="Calibri"/>
                <w:b/>
                <w:color w:val="FFFFFF"/>
                <w:sz w:val="22"/>
              </w:rPr>
              <w:t>Current Consensus (pre-print)</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$6.525B</w:t>
            </w:r>
          </w:p>
        </w:tc>
        <w:tc>
          <w:tcPr>
            <w:tcW w:type="dxa" w:w="1080"/>
          </w:tcPr>
          <w:p>
            <w:r>
              <w:rPr>
                <w:rFonts w:ascii="Calibri" w:hAnsi="Calibri"/>
                <w:sz w:val="22"/>
              </w:rPr>
              <w:t>$6.501B</w:t>
            </w:r>
          </w:p>
        </w:tc>
        <w:tc>
          <w:tcPr>
            <w:tcW w:type="dxa" w:w="1080"/>
          </w:tcPr>
          <w:p>
            <w:r>
              <w:rPr>
                <w:rFonts w:ascii="Calibri" w:hAnsi="Calibri"/>
                <w:sz w:val="22"/>
              </w:rPr>
              <w:t>-0.4%</w:t>
            </w:r>
          </w:p>
        </w:tc>
        <w:tc>
          <w:tcPr>
            <w:tcW w:type="dxa" w:w="1080"/>
          </w:tcPr>
          <w:p>
            <w:r>
              <w:rPr>
                <w:rFonts w:ascii="Calibri" w:hAnsi="Calibri"/>
                <w:sz w:val="22"/>
              </w:rPr>
              <w:t>$6.5B (midpoint)</w:t>
            </w:r>
          </w:p>
        </w:tc>
        <w:tc>
          <w:tcPr>
            <w:tcW w:type="dxa" w:w="1080"/>
          </w:tcPr>
          <w:p>
            <w:r>
              <w:rPr>
                <w:rFonts w:ascii="Calibri" w:hAnsi="Calibri"/>
                <w:sz w:val="22"/>
              </w:rPr>
              <w:t>$6.5B (unchanged)</w:t>
            </w:r>
          </w:p>
        </w:tc>
        <w:tc>
          <w:tcPr>
            <w:tcW w:type="dxa" w:w="1080"/>
          </w:tcPr>
          <w:p>
            <w:r>
              <w:rPr>
                <w:rFonts w:ascii="Calibri" w:hAnsi="Calibri"/>
                <w:sz w:val="22"/>
              </w:rPr>
              <w:t>Unchanged</w:t>
            </w:r>
          </w:p>
        </w:tc>
        <w:tc>
          <w:tcPr>
            <w:tcW w:type="dxa" w:w="1080"/>
          </w:tcPr>
          <w:p>
            <w:r>
              <w:rPr>
                <w:rFonts w:ascii="Calibri" w:hAnsi="Calibri"/>
                <w:sz w:val="22"/>
              </w:rPr>
              <w:t>0.0%</w:t>
            </w:r>
          </w:p>
        </w:tc>
      </w:tr>
      <w:tr>
        <w:tc>
          <w:tcPr>
            <w:tcW w:type="dxa" w:w="1080"/>
          </w:tcPr>
          <w:p>
            <w:r>
              <w:rPr>
                <w:rFonts w:ascii="Calibri" w:hAnsi="Calibri"/>
                <w:sz w:val="22"/>
              </w:rPr>
              <w:t>Adj. EBITDA — Q2 2026</w:t>
            </w:r>
          </w:p>
        </w:tc>
        <w:tc>
          <w:tcPr>
            <w:tcW w:type="dxa" w:w="1080"/>
          </w:tcPr>
          <w:p>
            <w:r>
              <w:rPr>
                <w:rFonts w:ascii="Calibri" w:hAnsi="Calibri"/>
                <w:sz w:val="22"/>
              </w:rPr>
              <w:t>$1.137B</w:t>
            </w:r>
          </w:p>
        </w:tc>
        <w:tc>
          <w:tcPr>
            <w:tcW w:type="dxa" w:w="1080"/>
          </w:tcPr>
          <w:p>
            <w:r>
              <w:rPr>
                <w:rFonts w:ascii="Calibri" w:hAnsi="Calibri"/>
                <w:sz w:val="22"/>
              </w:rPr>
              <w:t>$1.136B</w:t>
            </w:r>
          </w:p>
        </w:tc>
        <w:tc>
          <w:tcPr>
            <w:tcW w:type="dxa" w:w="1080"/>
          </w:tcPr>
          <w:p>
            <w:r>
              <w:rPr>
                <w:rFonts w:ascii="Calibri" w:hAnsi="Calibri"/>
                <w:sz w:val="22"/>
              </w:rPr>
              <w:t>-0.1%</w:t>
            </w:r>
          </w:p>
        </w:tc>
        <w:tc>
          <w:tcPr>
            <w:tcW w:type="dxa" w:w="1080"/>
          </w:tcPr>
          <w:p>
            <w:r>
              <w:rPr>
                <w:rFonts w:ascii="Calibri" w:hAnsi="Calibri"/>
                <w:sz w:val="22"/>
              </w:rPr>
              <w:t>$1.13B (midpoint)</w:t>
            </w:r>
          </w:p>
        </w:tc>
        <w:tc>
          <w:tcPr>
            <w:tcW w:type="dxa" w:w="1080"/>
          </w:tcPr>
          <w:p>
            <w:r>
              <w:rPr>
                <w:rFonts w:ascii="Calibri" w:hAnsi="Calibri"/>
                <w:sz w:val="22"/>
              </w:rPr>
              <w:t>$1.13B (unchanged)</w:t>
            </w:r>
          </w:p>
        </w:tc>
        <w:tc>
          <w:tcPr>
            <w:tcW w:type="dxa" w:w="1080"/>
          </w:tcPr>
          <w:p>
            <w:r>
              <w:rPr>
                <w:rFonts w:ascii="Calibri" w:hAnsi="Calibri"/>
                <w:sz w:val="22"/>
              </w:rPr>
              <w:t>Unchanged</w:t>
            </w:r>
          </w:p>
        </w:tc>
        <w:tc>
          <w:tcPr>
            <w:tcW w:type="dxa" w:w="1080"/>
          </w:tcPr>
          <w:p>
            <w:r>
              <w:rPr>
                <w:rFonts w:ascii="Calibri" w:hAnsi="Calibri"/>
                <w:sz w:val="22"/>
              </w:rPr>
              <w:t>+0.5%</w:t>
            </w:r>
          </w:p>
        </w:tc>
      </w:tr>
      <w:tr>
        <w:tc>
          <w:tcPr>
            <w:tcW w:type="dxa" w:w="1080"/>
          </w:tcPr>
          <w:p>
            <w:r>
              <w:rPr>
                <w:rFonts w:ascii="Calibri" w:hAnsi="Calibri"/>
                <w:sz w:val="22"/>
              </w:rPr>
              <w:t>IET Orders — Q2 2026</w:t>
            </w:r>
          </w:p>
        </w:tc>
        <w:tc>
          <w:tcPr>
            <w:tcW w:type="dxa" w:w="1080"/>
          </w:tcPr>
          <w:p>
            <w:r>
              <w:rPr>
                <w:rFonts w:ascii="Calibri" w:hAnsi="Calibri"/>
                <w:sz w:val="22"/>
              </w:rPr>
              <w:t>$3.309B</w:t>
            </w:r>
          </w:p>
        </w:tc>
        <w:tc>
          <w:tcPr>
            <w:tcW w:type="dxa" w:w="1080"/>
          </w:tcPr>
          <w:p>
            <w:r>
              <w:rPr>
                <w:rFonts w:ascii="Calibri" w:hAnsi="Calibri"/>
                <w:sz w:val="22"/>
              </w:rPr>
              <w:t>$3.643B</w:t>
            </w:r>
          </w:p>
        </w:tc>
        <w:tc>
          <w:tcPr>
            <w:tcW w:type="dxa" w:w="1080"/>
          </w:tcPr>
          <w:p>
            <w:r>
              <w:rPr>
                <w:rFonts w:ascii="Calibri" w:hAnsi="Calibri"/>
                <w:sz w:val="22"/>
              </w:rPr>
              <w:t>+10.1%</w:t>
            </w:r>
          </w:p>
        </w:tc>
        <w:tc>
          <w:tcPr>
            <w:tcW w:type="dxa" w:w="1080"/>
          </w:tcPr>
          <w:p>
            <w:r>
              <w:rPr>
                <w:rFonts w:ascii="Calibri" w:hAnsi="Calibri"/>
                <w:sz w:val="22"/>
              </w:rPr>
              <w:t>N/A (no quarterly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Q2 2026</w:t>
            </w:r>
          </w:p>
        </w:tc>
        <w:tc>
          <w:tcPr>
            <w:tcW w:type="dxa" w:w="1080"/>
          </w:tcPr>
          <w:p>
            <w:r>
              <w:rPr>
                <w:rFonts w:ascii="Calibri" w:hAnsi="Calibri"/>
                <w:sz w:val="22"/>
              </w:rPr>
              <w:t>$0.479</w:t>
            </w:r>
          </w:p>
        </w:tc>
        <w:tc>
          <w:tcPr>
            <w:tcW w:type="dxa" w:w="1080"/>
          </w:tcPr>
          <w:p>
            <w:r>
              <w:rPr>
                <w:rFonts w:ascii="Calibri" w:hAnsi="Calibri"/>
                <w:sz w:val="22"/>
              </w:rPr>
              <w:t>$0.485</w:t>
            </w:r>
          </w:p>
        </w:tc>
        <w:tc>
          <w:tcPr>
            <w:tcW w:type="dxa" w:w="1080"/>
          </w:tcPr>
          <w:p>
            <w:r>
              <w:rPr>
                <w:rFonts w:ascii="Calibri" w:hAnsi="Calibri"/>
                <w:sz w:val="22"/>
              </w:rPr>
              <w:t>+1.3%</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$27.08B</w:t>
            </w:r>
          </w:p>
        </w:tc>
        <w:tc>
          <w:tcPr>
            <w:tcW w:type="dxa" w:w="1080"/>
          </w:tcPr>
          <w:p>
            <w:r>
              <w:rPr>
                <w:rFonts w:ascii="Calibri" w:hAnsi="Calibri"/>
                <w:sz w:val="22"/>
              </w:rPr>
              <w:t>$27.23B</w:t>
            </w:r>
          </w:p>
        </w:tc>
        <w:tc>
          <w:tcPr>
            <w:tcW w:type="dxa" w:w="1080"/>
          </w:tcPr>
          <w:p>
            <w:r>
              <w:rPr>
                <w:rFonts w:ascii="Calibri" w:hAnsi="Calibri"/>
                <w:sz w:val="22"/>
              </w:rPr>
              <w:t>+0.6%</w:t>
            </w:r>
          </w:p>
        </w:tc>
        <w:tc>
          <w:tcPr>
            <w:tcW w:type="dxa" w:w="1080"/>
          </w:tcPr>
          <w:p>
            <w:r>
              <w:rPr>
                <w:rFonts w:ascii="Calibri" w:hAnsi="Calibri"/>
                <w:sz w:val="22"/>
              </w:rPr>
              <w:t>Maintained range; 'slightly below midpoint'</w:t>
            </w:r>
          </w:p>
        </w:tc>
        <w:tc>
          <w:tcPr>
            <w:tcW w:type="dxa" w:w="1080"/>
          </w:tcPr>
          <w:p>
            <w:r>
              <w:rPr>
                <w:rFonts w:ascii="Calibri" w:hAnsi="Calibri"/>
                <w:sz w:val="22"/>
              </w:rPr>
              <w:t>↑ 'Confident in achieving midpoint' (Jul 26)</w:t>
            </w:r>
          </w:p>
        </w:tc>
        <w:tc>
          <w:tcPr>
            <w:tcW w:type="dxa" w:w="1080"/>
          </w:tcPr>
          <w:p>
            <w:r>
              <w:rPr>
                <w:rFonts w:ascii="Calibri" w:hAnsi="Calibri"/>
                <w:sz w:val="22"/>
              </w:rPr>
              <w:t>↑ Tone upgrade</w:t>
            </w:r>
          </w:p>
        </w:tc>
        <w:tc>
          <w:tcPr>
            <w:tcW w:type="dxa" w:w="1080"/>
          </w:tcPr>
          <w:p>
            <w:r>
              <w:rPr>
                <w:rFonts w:ascii="Calibri" w:hAnsi="Calibri"/>
                <w:sz w:val="22"/>
              </w:rPr>
              <w:t>~0% (consensus at midpoint)</w:t>
            </w:r>
          </w:p>
        </w:tc>
      </w:tr>
      <w:tr>
        <w:tc>
          <w:tcPr>
            <w:tcW w:type="dxa" w:w="1080"/>
          </w:tcPr>
          <w:p>
            <w:r>
              <w:rPr>
                <w:rFonts w:ascii="Calibri" w:hAnsi="Calibri"/>
                <w:sz w:val="22"/>
              </w:rPr>
              <w:t>Adj. EBITDA — FY 2026</w:t>
            </w:r>
          </w:p>
        </w:tc>
        <w:tc>
          <w:tcPr>
            <w:tcW w:type="dxa" w:w="1080"/>
          </w:tcPr>
          <w:p>
            <w:r>
              <w:rPr>
                <w:rFonts w:ascii="Calibri" w:hAnsi="Calibri"/>
                <w:sz w:val="22"/>
              </w:rPr>
              <w:t>$4.785B</w:t>
            </w:r>
          </w:p>
        </w:tc>
        <w:tc>
          <w:tcPr>
            <w:tcW w:type="dxa" w:w="1080"/>
          </w:tcPr>
          <w:p>
            <w:r>
              <w:rPr>
                <w:rFonts w:ascii="Calibri" w:hAnsi="Calibri"/>
                <w:sz w:val="22"/>
              </w:rPr>
              <w:t>$4.832B</w:t>
            </w:r>
          </w:p>
        </w:tc>
        <w:tc>
          <w:tcPr>
            <w:tcW w:type="dxa" w:w="1080"/>
          </w:tcPr>
          <w:p>
            <w:r>
              <w:rPr>
                <w:rFonts w:ascii="Calibri" w:hAnsi="Calibri"/>
                <w:sz w:val="22"/>
              </w:rPr>
              <w:t>+1.0%</w:t>
            </w:r>
          </w:p>
        </w:tc>
        <w:tc>
          <w:tcPr>
            <w:tcW w:type="dxa" w:w="1080"/>
          </w:tcPr>
          <w:p>
            <w:r>
              <w:rPr>
                <w:rFonts w:ascii="Calibri" w:hAnsi="Calibri"/>
                <w:sz w:val="22"/>
              </w:rPr>
              <w:t>Maintained range; 'slightly below midpoint'</w:t>
            </w:r>
          </w:p>
        </w:tc>
        <w:tc>
          <w:tcPr>
            <w:tcW w:type="dxa" w:w="1080"/>
          </w:tcPr>
          <w:p>
            <w:r>
              <w:rPr>
                <w:rFonts w:ascii="Calibri" w:hAnsi="Calibri"/>
                <w:sz w:val="22"/>
              </w:rPr>
              <w:t>↑ 'Confident in achieving midpoint' (Jul 26)</w:t>
            </w:r>
          </w:p>
        </w:tc>
        <w:tc>
          <w:tcPr>
            <w:tcW w:type="dxa" w:w="1080"/>
          </w:tcPr>
          <w:p>
            <w:r>
              <w:rPr>
                <w:rFonts w:ascii="Calibri" w:hAnsi="Calibri"/>
                <w:sz w:val="22"/>
              </w:rPr>
              <w:t>↑ Tone upgrade</w:t>
            </w:r>
          </w:p>
        </w:tc>
        <w:tc>
          <w:tcPr>
            <w:tcW w:type="dxa" w:w="1080"/>
          </w:tcPr>
          <w:p>
            <w:r>
              <w:rPr>
                <w:rFonts w:ascii="Calibri" w:hAnsi="Calibri"/>
                <w:sz w:val="22"/>
              </w:rPr>
              <w:t>~0% (consensus at midpoint)</w:t>
            </w:r>
          </w:p>
        </w:tc>
      </w:tr>
      <w:tr>
        <w:tc>
          <w:tcPr>
            <w:tcW w:type="dxa" w:w="1080"/>
          </w:tcPr>
          <w:p>
            <w:r>
              <w:rPr>
                <w:rFonts w:ascii="Calibri" w:hAnsi="Calibri"/>
                <w:sz w:val="22"/>
              </w:rPr>
              <w:t>IET Orders — FY 2026</w:t>
            </w:r>
          </w:p>
        </w:tc>
        <w:tc>
          <w:tcPr>
            <w:tcW w:type="dxa" w:w="1080"/>
          </w:tcPr>
          <w:p>
            <w:r>
              <w:rPr>
                <w:rFonts w:ascii="Calibri" w:hAnsi="Calibri"/>
                <w:sz w:val="22"/>
              </w:rPr>
              <w:t>$14.284B</w:t>
            </w:r>
          </w:p>
        </w:tc>
        <w:tc>
          <w:tcPr>
            <w:tcW w:type="dxa" w:w="1080"/>
          </w:tcPr>
          <w:p>
            <w:r>
              <w:rPr>
                <w:rFonts w:ascii="Calibri" w:hAnsi="Calibri"/>
                <w:sz w:val="22"/>
              </w:rPr>
              <w:t>$14.669B</w:t>
            </w:r>
          </w:p>
        </w:tc>
        <w:tc>
          <w:tcPr>
            <w:tcW w:type="dxa" w:w="1080"/>
          </w:tcPr>
          <w:p>
            <w:r>
              <w:rPr>
                <w:rFonts w:ascii="Calibri" w:hAnsi="Calibri"/>
                <w:sz w:val="22"/>
              </w:rPr>
              <w:t>+2.7%</w:t>
            </w:r>
          </w:p>
        </w:tc>
        <w:tc>
          <w:tcPr>
            <w:tcW w:type="dxa" w:w="1080"/>
          </w:tcPr>
          <w:p>
            <w:r>
              <w:rPr>
                <w:rFonts w:ascii="Calibri" w:hAnsi="Calibri"/>
                <w:sz w:val="22"/>
              </w:rPr>
              <w:t>'At least $14.5B midpoint'</w:t>
            </w:r>
          </w:p>
        </w:tc>
        <w:tc>
          <w:tcPr>
            <w:tcW w:type="dxa" w:w="1080"/>
          </w:tcPr>
          <w:p>
            <w:r>
              <w:rPr>
                <w:rFonts w:ascii="Calibri" w:hAnsi="Calibri"/>
                <w:sz w:val="22"/>
              </w:rPr>
              <w:t>↑ Raised (Jul 26); H1 IET orders ~$12B already</w:t>
            </w:r>
          </w:p>
        </w:tc>
        <w:tc>
          <w:tcPr>
            <w:tcW w:type="dxa" w:w="1080"/>
          </w:tcPr>
          <w:p>
            <w:r>
              <w:rPr>
                <w:rFonts w:ascii="Calibri" w:hAnsi="Calibri"/>
                <w:sz w:val="22"/>
              </w:rPr>
              <w:t>↑ Raised</w:t>
            </w:r>
          </w:p>
        </w:tc>
        <w:tc>
          <w:tcPr>
            <w:tcW w:type="dxa" w:w="1080"/>
          </w:tcPr>
          <w:p>
            <w:r>
              <w:rPr>
                <w:rFonts w:ascii="Calibri" w:hAnsi="Calibri"/>
                <w:sz w:val="22"/>
              </w:rPr>
              <w:t>+1.2% above prior midpoint</w:t>
            </w:r>
          </w:p>
        </w:tc>
      </w:tr>
      <w:tr>
        <w:tc>
          <w:tcPr>
            <w:tcW w:type="dxa" w:w="1080"/>
          </w:tcPr>
          <w:p>
            <w:r>
              <w:rPr>
                <w:rFonts w:ascii="Calibri" w:hAnsi="Calibri"/>
                <w:sz w:val="22"/>
              </w:rPr>
              <w:t>Adj. EPS — FY 2026</w:t>
            </w:r>
          </w:p>
        </w:tc>
        <w:tc>
          <w:tcPr>
            <w:tcW w:type="dxa" w:w="1080"/>
          </w:tcPr>
          <w:p>
            <w:r>
              <w:rPr>
                <w:rFonts w:ascii="Calibri" w:hAnsi="Calibri"/>
                <w:sz w:val="22"/>
              </w:rPr>
              <w:t>$2.201</w:t>
            </w:r>
          </w:p>
        </w:tc>
        <w:tc>
          <w:tcPr>
            <w:tcW w:type="dxa" w:w="1080"/>
          </w:tcPr>
          <w:p>
            <w:r>
              <w:rPr>
                <w:rFonts w:ascii="Calibri" w:hAnsi="Calibri"/>
                <w:sz w:val="22"/>
              </w:rPr>
              <w:t>$2.260</w:t>
            </w:r>
          </w:p>
        </w:tc>
        <w:tc>
          <w:tcPr>
            <w:tcW w:type="dxa" w:w="1080"/>
          </w:tcPr>
          <w:p>
            <w:r>
              <w:rPr>
                <w:rFonts w:ascii="Calibri" w:hAnsi="Calibri"/>
                <w:sz w:val="22"/>
              </w:rPr>
              <w:t>+2.7%</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b/>
          <w:color w:val="525866"/>
          <w:sz w:val="22"/>
        </w:rPr>
        <w:t xml:space="preserve">Commentary: </w:t>
      </w:r>
      <w:r>
        <w:rPr>
          <w:rFonts w:ascii="Calibri" w:hAnsi="Calibri"/>
          <w:color w:val="525866"/>
          <w:sz w:val="22"/>
        </w:rPr>
        <w:t>Estimates for Q2 2026 were essentially flat post-Q1 earnings, tracking guidance closely on revenue and EBITDA but still dramatically underestimating IET orders. The Q2 actual beat on EBITDA ($1.231B vs. $1.136B consensus) and the massive IET order upside ($7.1B vs. $3.6B) should drive meaningful upward revisions to FY 2026 and FY 2027 estimates post-call, particularly as Chart Industries revenue begins to consolidate from July 16.</w:t>
      </w:r>
    </w:p>
    <w:p>
      <w:r>
        <w:rPr>
          <w:rFonts w:ascii="Calibri" w:hAnsi="Calibri"/>
          <w:b/>
          <w:color w:val="525866"/>
          <w:sz w:val="22"/>
        </w:rPr>
        <w:t xml:space="preserve">Source: </w:t>
      </w:r>
      <w:r>
        <w:rPr>
          <w:rFonts w:ascii="Calibri" w:hAnsi="Calibri"/>
          <w:color w:val="525866"/>
          <w:sz w:val="22"/>
        </w:rPr>
        <w:t>Visible Alpha consensus and actuals data; as-of date April 28, 2026 used as post-Q1 baseline.</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BKR has significantly underperformed both OIH and the S&amp;P 500 since Q1 earnings (April 23, 2026), declining ~11% vs. OIH -8% and SPY +4% — driven by Middle East conflict fears weighing on OFSE sentiment and Chart acquisition uncertainty, not by estimate revisions; the Q2 beat and Chart close should act as a re-rating catalyst.</w:t>
      </w:r>
    </w:p>
    <w:p>
      <w:r>
        <w:rPr>
          <w:rFonts w:ascii="Calibri" w:hAnsi="Calibri"/>
          <w:color w:val="525866"/>
          <w:sz w:val="22"/>
        </w:rPr>
        <w:t>Chart: BKR vs. OIH vs. S&amp;P 500 — Indexed to 100 at April 23, 2026 (Q1 Earnings Date). Key events marked: EU Phase I antitrust review initiated (May 21), BKR-Chart EC merger commitment talks (June 22), Chart acquisition completed (July 16). BKR closed at $57.27 on July 24 vs. $64.49 at Q1 earnings date, a decline of ~11.2%. OIH declined ~7.9% over the same period. SPY gained ~4.3%.</w:t>
      </w:r>
    </w:p>
    <w:p>
      <w:r>
        <w:rPr>
          <w:rFonts w:ascii="Calibri" w:hAnsi="Calibri"/>
          <w:b/>
          <w:color w:val="525866"/>
          <w:sz w:val="22"/>
        </w:rPr>
        <w:t xml:space="preserve">Note: </w:t>
      </w:r>
      <w:r>
        <w:rPr>
          <w:rFonts w:ascii="Calibri" w:hAnsi="Calibri"/>
          <w:color w:val="525866"/>
          <w:sz w:val="22"/>
        </w:rPr>
        <w:t>The stock chart below is generated from actual price data (Yahoo Finance via Stock Price dataset). BKR's underperformance vs. OIH reflects idiosyncratic Chart acquisition overhang and Middle East OFSE exposure, while the broader OES sector also lagged the S&amp;P 500 on oil price softness. The Q2 press release beat and Horizon 2 order raise to $45B+ represent a meaningful positive catalyst that was not priced in at the July 24 close.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BKR Price</w:t>
            </w:r>
          </w:p>
        </w:tc>
        <w:tc>
          <w:tcPr>
            <w:tcW w:type="dxa" w:w="1440"/>
            <w:shd w:val="clear" w:color="auto" w:fill="3B4259"/>
          </w:tcPr>
          <w:p>
            <w:r>
              <w:rPr>
                <w:rFonts w:ascii="Calibri" w:hAnsi="Calibri"/>
                <w:b/>
                <w:color w:val="FFFFFF"/>
                <w:sz w:val="22"/>
              </w:rPr>
              <w:t>BKR Indexed</w:t>
            </w:r>
          </w:p>
        </w:tc>
        <w:tc>
          <w:tcPr>
            <w:tcW w:type="dxa" w:w="1440"/>
            <w:shd w:val="clear" w:color="auto" w:fill="3B4259"/>
          </w:tcPr>
          <w:p>
            <w:r>
              <w:rPr>
                <w:rFonts w:ascii="Calibri" w:hAnsi="Calibri"/>
                <w:b/>
                <w:color w:val="FFFFFF"/>
                <w:sz w:val="22"/>
              </w:rPr>
              <w:t>OIH Indexed</w:t>
            </w:r>
          </w:p>
        </w:tc>
        <w:tc>
          <w:tcPr>
            <w:tcW w:type="dxa" w:w="1440"/>
            <w:shd w:val="clear" w:color="auto" w:fill="3B4259"/>
          </w:tcPr>
          <w:p>
            <w:r>
              <w:rPr>
                <w:rFonts w:ascii="Calibri" w:hAnsi="Calibri"/>
                <w:b/>
                <w:color w:val="FFFFFF"/>
                <w:sz w:val="22"/>
              </w:rPr>
              <w:t>SPY Indexed</w:t>
            </w:r>
          </w:p>
        </w:tc>
        <w:tc>
          <w:tcPr>
            <w:tcW w:type="dxa" w:w="1440"/>
            <w:shd w:val="clear" w:color="auto" w:fill="3B4259"/>
          </w:tcPr>
          <w:p>
            <w:r>
              <w:rPr>
                <w:rFonts w:ascii="Calibri" w:hAnsi="Calibri"/>
                <w:b/>
                <w:color w:val="FFFFFF"/>
                <w:sz w:val="22"/>
              </w:rPr>
              <w:t>Key Event</w:t>
            </w:r>
          </w:p>
        </w:tc>
      </w:tr>
      <w:tr>
        <w:tc>
          <w:tcPr>
            <w:tcW w:type="dxa" w:w="1440"/>
          </w:tcPr>
          <w:p>
            <w:r>
              <w:rPr>
                <w:rFonts w:ascii="Calibri" w:hAnsi="Calibri"/>
                <w:sz w:val="22"/>
              </w:rPr>
              <w:t>Apr 23, 2026 (Q1 Earnings)</w:t>
            </w:r>
          </w:p>
        </w:tc>
        <w:tc>
          <w:tcPr>
            <w:tcW w:type="dxa" w:w="1440"/>
          </w:tcPr>
          <w:p>
            <w:r>
              <w:rPr>
                <w:rFonts w:ascii="Calibri" w:hAnsi="Calibri"/>
                <w:sz w:val="22"/>
              </w:rPr>
              <w:t>$64.49</w:t>
            </w:r>
          </w:p>
        </w:tc>
        <w:tc>
          <w:tcPr>
            <w:tcW w:type="dxa" w:w="1440"/>
          </w:tcPr>
          <w:p>
            <w:r>
              <w:rPr>
                <w:rFonts w:ascii="Calibri" w:hAnsi="Calibri"/>
                <w:sz w:val="22"/>
              </w:rPr>
              <w:t>100.0</w:t>
            </w:r>
          </w:p>
        </w:tc>
        <w:tc>
          <w:tcPr>
            <w:tcW w:type="dxa" w:w="1440"/>
          </w:tcPr>
          <w:p>
            <w:r>
              <w:rPr>
                <w:rFonts w:ascii="Calibri" w:hAnsi="Calibri"/>
                <w:sz w:val="22"/>
              </w:rPr>
              <w:t>100.0</w:t>
            </w:r>
          </w:p>
        </w:tc>
        <w:tc>
          <w:tcPr>
            <w:tcW w:type="dxa" w:w="1440"/>
          </w:tcPr>
          <w:p>
            <w:r>
              <w:rPr>
                <w:rFonts w:ascii="Calibri" w:hAnsi="Calibri"/>
                <w:sz w:val="22"/>
              </w:rPr>
              <w:t>100.0</w:t>
            </w:r>
          </w:p>
        </w:tc>
        <w:tc>
          <w:tcPr>
            <w:tcW w:type="dxa" w:w="1440"/>
          </w:tcPr>
          <w:p>
            <w:r>
              <w:rPr>
                <w:rFonts w:ascii="Calibri" w:hAnsi="Calibri"/>
                <w:sz w:val="22"/>
              </w:rPr>
              <w:t>Q1 2026 Earnings (Beat)</w:t>
            </w:r>
          </w:p>
        </w:tc>
      </w:tr>
      <w:tr>
        <w:tc>
          <w:tcPr>
            <w:tcW w:type="dxa" w:w="1440"/>
          </w:tcPr>
          <w:p>
            <w:r>
              <w:rPr>
                <w:rFonts w:ascii="Calibri" w:hAnsi="Calibri"/>
                <w:sz w:val="22"/>
              </w:rPr>
              <w:t>Apr 24, 2026</w:t>
            </w:r>
          </w:p>
        </w:tc>
        <w:tc>
          <w:tcPr>
            <w:tcW w:type="dxa" w:w="1440"/>
          </w:tcPr>
          <w:p>
            <w:r>
              <w:rPr>
                <w:rFonts w:ascii="Calibri" w:hAnsi="Calibri"/>
                <w:sz w:val="22"/>
              </w:rPr>
              <w:t>$68.94</w:t>
            </w:r>
          </w:p>
        </w:tc>
        <w:tc>
          <w:tcPr>
            <w:tcW w:type="dxa" w:w="1440"/>
          </w:tcPr>
          <w:p>
            <w:r>
              <w:rPr>
                <w:rFonts w:ascii="Calibri" w:hAnsi="Calibri"/>
                <w:sz w:val="22"/>
              </w:rPr>
              <w:t>106.9</w:t>
            </w:r>
          </w:p>
        </w:tc>
        <w:tc>
          <w:tcPr>
            <w:tcW w:type="dxa" w:w="1440"/>
          </w:tcPr>
          <w:p>
            <w:r>
              <w:rPr>
                <w:rFonts w:ascii="Calibri" w:hAnsi="Calibri"/>
                <w:sz w:val="22"/>
              </w:rPr>
              <w:t>102.8</w:t>
            </w:r>
          </w:p>
        </w:tc>
        <w:tc>
          <w:tcPr>
            <w:tcW w:type="dxa" w:w="1440"/>
          </w:tcPr>
          <w:p>
            <w:r>
              <w:rPr>
                <w:rFonts w:ascii="Calibri" w:hAnsi="Calibri"/>
                <w:sz w:val="22"/>
              </w:rPr>
              <w:t>100.8</w:t>
            </w:r>
          </w:p>
        </w:tc>
        <w:tc>
          <w:tcPr>
            <w:tcW w:type="dxa" w:w="1440"/>
          </w:tcPr>
          <w:p>
            <w:r>
              <w:rPr>
                <w:rFonts w:ascii="Calibri" w:hAnsi="Calibri"/>
                <w:sz w:val="22"/>
              </w:rPr>
              <w:t>Post-earnings gap up</w:t>
            </w:r>
          </w:p>
        </w:tc>
      </w:tr>
      <w:tr>
        <w:tc>
          <w:tcPr>
            <w:tcW w:type="dxa" w:w="1440"/>
          </w:tcPr>
          <w:p>
            <w:r>
              <w:rPr>
                <w:rFonts w:ascii="Calibri" w:hAnsi="Calibri"/>
                <w:sz w:val="22"/>
              </w:rPr>
              <w:t>May 21, 2026</w:t>
            </w:r>
          </w:p>
        </w:tc>
        <w:tc>
          <w:tcPr>
            <w:tcW w:type="dxa" w:w="1440"/>
          </w:tcPr>
          <w:p>
            <w:r>
              <w:rPr>
                <w:rFonts w:ascii="Calibri" w:hAnsi="Calibri"/>
                <w:sz w:val="22"/>
              </w:rPr>
              <w:t>$65.80</w:t>
            </w:r>
          </w:p>
        </w:tc>
        <w:tc>
          <w:tcPr>
            <w:tcW w:type="dxa" w:w="1440"/>
          </w:tcPr>
          <w:p>
            <w:r>
              <w:rPr>
                <w:rFonts w:ascii="Calibri" w:hAnsi="Calibri"/>
                <w:sz w:val="22"/>
              </w:rPr>
              <w:t>102.0</w:t>
            </w:r>
          </w:p>
        </w:tc>
        <w:tc>
          <w:tcPr>
            <w:tcW w:type="dxa" w:w="1440"/>
          </w:tcPr>
          <w:p>
            <w:r>
              <w:rPr>
                <w:rFonts w:ascii="Calibri" w:hAnsi="Calibri"/>
                <w:sz w:val="22"/>
              </w:rPr>
              <w:t>104.6</w:t>
            </w:r>
          </w:p>
        </w:tc>
        <w:tc>
          <w:tcPr>
            <w:tcW w:type="dxa" w:w="1440"/>
          </w:tcPr>
          <w:p>
            <w:r>
              <w:rPr>
                <w:rFonts w:ascii="Calibri" w:hAnsi="Calibri"/>
                <w:sz w:val="22"/>
              </w:rPr>
              <w:t>104.8</w:t>
            </w:r>
          </w:p>
        </w:tc>
        <w:tc>
          <w:tcPr>
            <w:tcW w:type="dxa" w:w="1440"/>
          </w:tcPr>
          <w:p>
            <w:r>
              <w:rPr>
                <w:rFonts w:ascii="Calibri" w:hAnsi="Calibri"/>
                <w:sz w:val="22"/>
              </w:rPr>
              <w:t>EU Phase I antitrust review initiated (Chart deal)</w:t>
            </w:r>
          </w:p>
        </w:tc>
      </w:tr>
      <w:tr>
        <w:tc>
          <w:tcPr>
            <w:tcW w:type="dxa" w:w="1440"/>
          </w:tcPr>
          <w:p>
            <w:r>
              <w:rPr>
                <w:rFonts w:ascii="Calibri" w:hAnsi="Calibri"/>
                <w:sz w:val="22"/>
              </w:rPr>
              <w:t>Jun 22, 2026</w:t>
            </w:r>
          </w:p>
        </w:tc>
        <w:tc>
          <w:tcPr>
            <w:tcW w:type="dxa" w:w="1440"/>
          </w:tcPr>
          <w:p>
            <w:r>
              <w:rPr>
                <w:rFonts w:ascii="Calibri" w:hAnsi="Calibri"/>
                <w:sz w:val="22"/>
              </w:rPr>
              <w:t>$59.15</w:t>
            </w:r>
          </w:p>
        </w:tc>
        <w:tc>
          <w:tcPr>
            <w:tcW w:type="dxa" w:w="1440"/>
          </w:tcPr>
          <w:p>
            <w:r>
              <w:rPr>
                <w:rFonts w:ascii="Calibri" w:hAnsi="Calibri"/>
                <w:sz w:val="22"/>
              </w:rPr>
              <w:t>91.7</w:t>
            </w:r>
          </w:p>
        </w:tc>
        <w:tc>
          <w:tcPr>
            <w:tcW w:type="dxa" w:w="1440"/>
          </w:tcPr>
          <w:p>
            <w:r>
              <w:rPr>
                <w:rFonts w:ascii="Calibri" w:hAnsi="Calibri"/>
                <w:sz w:val="22"/>
              </w:rPr>
              <w:t>91.5</w:t>
            </w:r>
          </w:p>
        </w:tc>
        <w:tc>
          <w:tcPr>
            <w:tcW w:type="dxa" w:w="1440"/>
          </w:tcPr>
          <w:p>
            <w:r>
              <w:rPr>
                <w:rFonts w:ascii="Calibri" w:hAnsi="Calibri"/>
                <w:sz w:val="22"/>
              </w:rPr>
              <w:t>105.0</w:t>
            </w:r>
          </w:p>
        </w:tc>
        <w:tc>
          <w:tcPr>
            <w:tcW w:type="dxa" w:w="1440"/>
          </w:tcPr>
          <w:p>
            <w:r>
              <w:rPr>
                <w:rFonts w:ascii="Calibri" w:hAnsi="Calibri"/>
                <w:sz w:val="22"/>
              </w:rPr>
              <w:t>BKR-Chart EC merger commitment talks (8-K)</w:t>
            </w:r>
          </w:p>
        </w:tc>
      </w:tr>
      <w:tr>
        <w:tc>
          <w:tcPr>
            <w:tcW w:type="dxa" w:w="1440"/>
          </w:tcPr>
          <w:p>
            <w:r>
              <w:rPr>
                <w:rFonts w:ascii="Calibri" w:hAnsi="Calibri"/>
                <w:sz w:val="22"/>
              </w:rPr>
              <w:t>Jul 16, 2026</w:t>
            </w:r>
          </w:p>
        </w:tc>
        <w:tc>
          <w:tcPr>
            <w:tcW w:type="dxa" w:w="1440"/>
          </w:tcPr>
          <w:p>
            <w:r>
              <w:rPr>
                <w:rFonts w:ascii="Calibri" w:hAnsi="Calibri"/>
                <w:sz w:val="22"/>
              </w:rPr>
              <w:t>$56.54</w:t>
            </w:r>
          </w:p>
        </w:tc>
        <w:tc>
          <w:tcPr>
            <w:tcW w:type="dxa" w:w="1440"/>
          </w:tcPr>
          <w:p>
            <w:r>
              <w:rPr>
                <w:rFonts w:ascii="Calibri" w:hAnsi="Calibri"/>
                <w:sz w:val="22"/>
              </w:rPr>
              <w:t>87.7</w:t>
            </w:r>
          </w:p>
        </w:tc>
        <w:tc>
          <w:tcPr>
            <w:tcW w:type="dxa" w:w="1440"/>
          </w:tcPr>
          <w:p>
            <w:r>
              <w:rPr>
                <w:rFonts w:ascii="Calibri" w:hAnsi="Calibri"/>
                <w:sz w:val="22"/>
              </w:rPr>
              <w:t>88.6</w:t>
            </w:r>
          </w:p>
        </w:tc>
        <w:tc>
          <w:tcPr>
            <w:tcW w:type="dxa" w:w="1440"/>
          </w:tcPr>
          <w:p>
            <w:r>
              <w:rPr>
                <w:rFonts w:ascii="Calibri" w:hAnsi="Calibri"/>
                <w:sz w:val="22"/>
              </w:rPr>
              <w:t>105.9</w:t>
            </w:r>
          </w:p>
        </w:tc>
        <w:tc>
          <w:tcPr>
            <w:tcW w:type="dxa" w:w="1440"/>
          </w:tcPr>
          <w:p>
            <w:r>
              <w:rPr>
                <w:rFonts w:ascii="Calibri" w:hAnsi="Calibri"/>
                <w:sz w:val="22"/>
              </w:rPr>
              <w:t>Chart acquisition completed; $2B term loans secured</w:t>
            </w:r>
          </w:p>
        </w:tc>
      </w:tr>
      <w:tr>
        <w:tc>
          <w:tcPr>
            <w:tcW w:type="dxa" w:w="1440"/>
          </w:tcPr>
          <w:p>
            <w:r>
              <w:rPr>
                <w:rFonts w:ascii="Calibri" w:hAnsi="Calibri"/>
                <w:sz w:val="22"/>
              </w:rPr>
              <w:t>Jul 24, 2026 (last close)</w:t>
            </w:r>
          </w:p>
        </w:tc>
        <w:tc>
          <w:tcPr>
            <w:tcW w:type="dxa" w:w="1440"/>
          </w:tcPr>
          <w:p>
            <w:r>
              <w:rPr>
                <w:rFonts w:ascii="Calibri" w:hAnsi="Calibri"/>
                <w:sz w:val="22"/>
              </w:rPr>
              <w:t>$57.27</w:t>
            </w:r>
          </w:p>
        </w:tc>
        <w:tc>
          <w:tcPr>
            <w:tcW w:type="dxa" w:w="1440"/>
          </w:tcPr>
          <w:p>
            <w:r>
              <w:rPr>
                <w:rFonts w:ascii="Calibri" w:hAnsi="Calibri"/>
                <w:sz w:val="22"/>
              </w:rPr>
              <w:t>88.8</w:t>
            </w:r>
          </w:p>
        </w:tc>
        <w:tc>
          <w:tcPr>
            <w:tcW w:type="dxa" w:w="1440"/>
          </w:tcPr>
          <w:p>
            <w:r>
              <w:rPr>
                <w:rFonts w:ascii="Calibri" w:hAnsi="Calibri"/>
                <w:sz w:val="22"/>
              </w:rPr>
              <w:t>92.1</w:t>
            </w:r>
          </w:p>
        </w:tc>
        <w:tc>
          <w:tcPr>
            <w:tcW w:type="dxa" w:w="1440"/>
          </w:tcPr>
          <w:p>
            <w:r>
              <w:rPr>
                <w:rFonts w:ascii="Calibri" w:hAnsi="Calibri"/>
                <w:sz w:val="22"/>
              </w:rPr>
              <w:t>104.3</w:t>
            </w:r>
          </w:p>
        </w:tc>
        <w:tc>
          <w:tcPr>
            <w:tcW w:type="dxa" w:w="1440"/>
          </w:tcPr>
          <w:p>
            <w:r>
              <w:rPr>
                <w:rFonts w:ascii="Calibri" w:hAnsi="Calibri"/>
                <w:sz w:val="22"/>
              </w:rPr>
              <w:t>Last close before Q2 earnings</w:t>
            </w:r>
          </w:p>
        </w:tc>
      </w:tr>
    </w:tbl>
    <w:p>
      <w:r>
        <w:rPr>
          <w:rFonts w:ascii="Calibri" w:hAnsi="Calibri"/>
          <w:b/>
          <w:color w:val="525866"/>
          <w:sz w:val="22"/>
        </w:rPr>
        <w:t xml:space="preserve">Source: </w:t>
      </w:r>
      <w:r>
        <w:rPr>
          <w:rFonts w:ascii="Calibri" w:hAnsi="Calibri"/>
          <w:color w:val="525866"/>
          <w:sz w:val="22"/>
        </w:rPr>
        <w:t>Stock price data from Yahoo Finance. Indexed to 100 at April 23, 2026 close. OIH = VanEck Oil Services ETF (appropriate sub-sector benchmark for BKR's oilfield services and energy technology exposure).</w:t>
      </w:r>
    </w:p>
    <w:p>
      <w:r>
        <w:br w:type="page"/>
      </w:r>
    </w:p>
    <w:p>
      <w:pPr>
        <w:pStyle w:val="Heading1"/>
        <w:pBdr>
          <w:bottom w:val="single" w:sz="4" w:space="1" w:color="FB9120"/>
        </w:pBdr>
      </w:pPr>
      <w:r>
        <w:rPr>
          <w:rFonts w:ascii="Calibri" w:hAnsi="Calibri"/>
          <w:b/>
          <w:color w:val="3B4259"/>
          <w:sz w:val="40"/>
        </w:rPr>
        <w:t>6. Material News &amp; Developments (Since Q1 2026 Earnings, April 23, 2026)</w:t>
      </w:r>
    </w:p>
    <w:p>
      <w:r>
        <w:rPr>
          <w:rFonts w:ascii="Calibri" w:hAnsi="Calibri"/>
          <w:b/>
          <w:color w:val="525866"/>
          <w:sz w:val="22"/>
        </w:rPr>
        <w:t xml:space="preserve">Key Takeaway: </w:t>
      </w:r>
      <w:r>
        <w:rPr>
          <w:rFonts w:ascii="Calibri" w:hAnsi="Calibri"/>
          <w:color w:val="525866"/>
          <w:sz w:val="22"/>
        </w:rPr>
        <w:t>The most important development is the completion of the Chart Industries acquisition on July 16, 2026, which transforms BKR's scale and IET capabilities; combined with record Q2 IET orders of $7.1B and the Waygate Technologies divestiture announcement, BKR's portfolio transformation is accelerating well ahead of schedule.</w:t>
      </w:r>
    </w:p>
    <w:p>
      <w:pPr>
        <w:pStyle w:val="ListBullet"/>
        <w:ind w:left="360" w:hanging="360"/>
      </w:pPr>
      <w:r>
        <w:rPr>
          <w:rFonts w:ascii="Calibri" w:hAnsi="Calibri"/>
          <w:b/>
          <w:color w:val="525866"/>
          <w:sz w:val="22"/>
        </w:rPr>
        <w:t xml:space="preserve">July 26, 2026 — Q2 2026 Results (Press Release): </w:t>
      </w:r>
      <w:r>
        <w:rPr>
          <w:rFonts w:ascii="Calibri" w:hAnsi="Calibri"/>
          <w:color w:val="525866"/>
          <w:sz w:val="22"/>
        </w:rPr>
        <w:t xml:space="preserve">BKR reported Q2 2026 results with revenue of $6.742B, adjusted EBITDA of $1.231B (exceeding the high end of guidance), adjusted EPS of $0.64, and record IET orders of $7.1B (+101% YoY). Free cash flow of $1.109B was exceptional. Management raised the Horizon 2 IET order target to &gt;$45B and upgraded full-year guidance tone to 'confident in achieving the midpoint.' </w:t>
      </w:r>
    </w:p>
    <w:p>
      <w:pPr>
        <w:pStyle w:val="ListBullet"/>
        <w:ind w:left="360" w:hanging="360"/>
      </w:pPr>
      <w:r>
        <w:rPr>
          <w:rFonts w:ascii="Calibri" w:hAnsi="Calibri"/>
          <w:b/>
          <w:color w:val="525866"/>
          <w:sz w:val="22"/>
        </w:rPr>
        <w:t xml:space="preserve">July 26, 2026 — Waygate Technologies Divestiture Announced: </w:t>
      </w:r>
      <w:r>
        <w:rPr>
          <w:rFonts w:ascii="Calibri" w:hAnsi="Calibri"/>
          <w:color w:val="525866"/>
          <w:sz w:val="22"/>
        </w:rPr>
        <w:t xml:space="preserve">BKR announced the sale of Waygate Technologies (industrial inspection/NDT business) to Hexagon for approximately $1.45 billion in an all-cash transaction. This continues BKR's muscular portfolio management strategy and is expected to further strengthen the balance sheet. </w:t>
      </w:r>
    </w:p>
    <w:p>
      <w:pPr>
        <w:pStyle w:val="ListBullet"/>
        <w:ind w:left="360" w:hanging="360"/>
      </w:pPr>
      <w:r>
        <w:rPr>
          <w:rFonts w:ascii="Calibri" w:hAnsi="Calibri"/>
          <w:b/>
          <w:color w:val="525866"/>
          <w:sz w:val="22"/>
        </w:rPr>
        <w:t xml:space="preserve">July 16, 2026 — Chart Industries Acquisition Completed: </w:t>
      </w:r>
      <w:r>
        <w:rPr>
          <w:rFonts w:ascii="Calibri" w:hAnsi="Calibri"/>
          <w:color w:val="525866"/>
          <w:sz w:val="22"/>
        </w:rPr>
        <w:t xml:space="preserve">BKR completed the all-cash acquisition of Chart Industries, Inc., enhancing capabilities in thermal management, air and gas handling, compression, and lifecycle services. BKR secured $2 billion in new term loans to fund the transaction. This is a major strategic milestone, adding Chart's capabilities to IET and expanding BKR's addressable market in LNG, industrial gas, and adjacent markets. Management remains confident in delivering $325M in targeted cost synergies. </w:t>
      </w:r>
    </w:p>
    <w:p>
      <w:pPr>
        <w:pStyle w:val="ListBullet"/>
        <w:ind w:left="360" w:hanging="360"/>
      </w:pPr>
      <w:r>
        <w:rPr>
          <w:rFonts w:ascii="Calibri" w:hAnsi="Calibri"/>
          <w:b/>
          <w:color w:val="525866"/>
          <w:sz w:val="22"/>
        </w:rPr>
        <w:t xml:space="preserve">June 22, 2026 — EC Merger Commitment Talks (8-K): </w:t>
      </w:r>
      <w:r>
        <w:rPr>
          <w:rFonts w:ascii="Calibri" w:hAnsi="Calibri"/>
          <w:color w:val="525866"/>
          <w:sz w:val="22"/>
        </w:rPr>
        <w:t xml:space="preserve">BKR and Chart disclosed they were in discussions with the European Commission regarding merger commitments as part of the antitrust review process. This created temporary uncertainty around deal timing but was ultimately resolved, with the deal closing July 16. </w:t>
      </w:r>
    </w:p>
    <w:p>
      <w:pPr>
        <w:pStyle w:val="ListBullet"/>
        <w:ind w:left="360" w:hanging="360"/>
      </w:pPr>
      <w:r>
        <w:rPr>
          <w:rFonts w:ascii="Calibri" w:hAnsi="Calibri"/>
          <w:b/>
          <w:color w:val="525866"/>
          <w:sz w:val="22"/>
        </w:rPr>
        <w:t xml:space="preserve">May 21, 2026 — EU Phase I Antitrust Review Initiated: </w:t>
      </w:r>
      <w:r>
        <w:rPr>
          <w:rFonts w:ascii="Calibri" w:hAnsi="Calibri"/>
          <w:color w:val="525866"/>
          <w:sz w:val="22"/>
        </w:rPr>
        <w:t xml:space="preserve">The European Commission initiated a Phase I antitrust review of the BKR-Chart transaction, shifting the expected close from Q2 to July 2026. Management expressed confidence in the strategic rationale and integration readiness throughout the review period. </w:t>
      </w:r>
    </w:p>
    <w:p>
      <w:pPr>
        <w:pStyle w:val="ListBullet"/>
        <w:ind w:left="360" w:hanging="360"/>
      </w:pPr>
      <w:r>
        <w:rPr>
          <w:rFonts w:ascii="Calibri" w:hAnsi="Calibri"/>
          <w:b/>
          <w:color w:val="525866"/>
          <w:sz w:val="22"/>
        </w:rPr>
        <w:t xml:space="preserve">April 23–26, 2026 — Q1 2026 Earnings Beat &amp; Guidance: </w:t>
      </w:r>
      <w:r>
        <w:rPr>
          <w:rFonts w:ascii="Calibri" w:hAnsi="Calibri"/>
          <w:color w:val="525866"/>
          <w:sz w:val="22"/>
        </w:rPr>
        <w:t xml:space="preserve">BKR reported Q1 2026 results with IET delivering record orders for the third consecutive quarter ($4.887B, +40% above consensus) and IET EBITDA margins sustaining above 20%. Management guided Q2 revenue to $6.5B and EBITDA to $1.13B, with OFSE expected to face &gt;20% sequential Middle East decline. Full-year guidance maintained but tone shifted to 'slightly below midpoint.' Stock rose mid-single digits on the day. </w:t>
      </w:r>
    </w:p>
    <w:p>
      <w:pPr>
        <w:pStyle w:val="ListBullet"/>
        <w:ind w:left="360" w:hanging="360"/>
      </w:pPr>
      <w:r>
        <w:rPr>
          <w:rFonts w:ascii="Calibri" w:hAnsi="Calibri"/>
          <w:b/>
          <w:color w:val="525866"/>
          <w:sz w:val="22"/>
        </w:rPr>
        <w:t xml:space="preserve">Ongoing — Middle East Conflict &amp; Strait of Hormuz: </w:t>
      </w:r>
      <w:r>
        <w:rPr>
          <w:rFonts w:ascii="Calibri" w:hAnsi="Calibri"/>
          <w:color w:val="525866"/>
          <w:sz w:val="22"/>
        </w:rPr>
        <w:t xml:space="preserve">The ongoing Middle East conflict continued to weigh on OFSE activity through Q2, with management's Q1 guidance assuming the conflict would continue through end of June. The Q2 actual OFSE revenue of $3.45B (vs. $3.2B guided) suggests the region recovered faster than feared, consistent with SLB and HAL commentary on gradual activity restoration. </w:t>
      </w:r>
    </w:p>
    <w:p>
      <w:pPr>
        <w:pStyle w:val="ListBullet"/>
        <w:ind w:left="360" w:hanging="360"/>
      </w:pPr>
      <w:r>
        <w:rPr>
          <w:rFonts w:ascii="Calibri" w:hAnsi="Calibri"/>
          <w:b/>
          <w:color w:val="525866"/>
          <w:sz w:val="22"/>
        </w:rPr>
        <w:t xml:space="preserve">Ongoing — Data Center &amp; Power Generation Demand Acceleration: </w:t>
      </w:r>
      <w:r>
        <w:rPr>
          <w:rFonts w:ascii="Calibri" w:hAnsi="Calibri"/>
          <w:color w:val="525866"/>
          <w:sz w:val="22"/>
        </w:rPr>
        <w:t xml:space="preserve">BKR's Q2 IET orders included a major award from Dynamis Power Solutions for 76 NovaLT16 gas turbines (~1.3 GW) for data center and oil &amp; gas applications, and a multi-year strategic agreement with Kodiak Gas Services for up to 1.8 GW of power generation capacity. Management noted Q1 2026 data center orders alone approached the full-year 2025 total, and signaled the existing cumulative data center order target will be revised upward. </w:t>
      </w:r>
    </w:p>
    <w:p>
      <w:pPr>
        <w:pStyle w:val="ListBullet"/>
        <w:ind w:left="360" w:hanging="360"/>
      </w:pPr>
      <w:r>
        <w:rPr>
          <w:rFonts w:ascii="Calibri" w:hAnsi="Calibri"/>
          <w:b/>
          <w:color w:val="525866"/>
          <w:sz w:val="22"/>
        </w:rPr>
        <w:t xml:space="preserve">Ongoing — LNG Order Momentum: </w:t>
      </w:r>
      <w:r>
        <w:rPr>
          <w:rFonts w:ascii="Calibri" w:hAnsi="Calibri"/>
          <w:color w:val="525866"/>
          <w:sz w:val="22"/>
        </w:rPr>
        <w:t xml:space="preserve">Q2 2026 featured landmark LNG awards: Venture Global (6 LNG blocks, 12 liquefaction modules), Cheniere/Bechtel (Sabine Pass Train 7 liquefaction equipment plus fleet-wide gas turbine upgrades), and Golar (4 PGT25 turbine-driven compressor trains for a 3.5 MTPA FLNG facility). These awards validate BKR's full-lifecycle LNG positioning and support the Horizon 2 order target raise to &gt;$45B. </w:t>
      </w:r>
    </w:p>
    <w:p>
      <w:r>
        <w:br w:type="page"/>
      </w:r>
    </w:p>
    <w:p>
      <w:pPr>
        <w:pStyle w:val="Heading1"/>
        <w:pBdr>
          <w:bottom w:val="single" w:sz="4" w:space="1" w:color="FB9120"/>
        </w:pBdr>
      </w:pPr>
      <w:r>
        <w:rPr>
          <w:rFonts w:ascii="Calibri" w:hAnsi="Calibri"/>
          <w:b/>
          <w:color w:val="3B4259"/>
          <w:sz w:val="40"/>
        </w:rPr>
        <w:t>7. Insider Transaction Activity (Since Q1 2026 Earnings, April 23, 2026)</w:t>
      </w:r>
    </w:p>
    <w:p>
      <w:r>
        <w:rPr>
          <w:rFonts w:ascii="Calibri" w:hAnsi="Calibri"/>
          <w:b/>
          <w:color w:val="525866"/>
          <w:sz w:val="22"/>
        </w:rPr>
        <w:t xml:space="preserve">Key Takeaway: </w:t>
      </w:r>
      <w:r>
        <w:rPr>
          <w:rFonts w:ascii="Calibri" w:hAnsi="Calibri"/>
          <w:color w:val="525866"/>
          <w:sz w:val="22"/>
        </w:rPr>
        <w:t>All open-market sales by executives are under pre-established 10b5-1 plans — no discretionary selling — and the volume is modest relative to total holdings; no open-market buys were filed. The pattern is routine and does not signal negative conviction.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Simonelli, Lorenzo</w:t>
            </w:r>
          </w:p>
        </w:tc>
        <w:tc>
          <w:tcPr>
            <w:tcW w:type="dxa" w:w="1440"/>
          </w:tcPr>
          <w:p>
            <w:r>
              <w:rPr>
                <w:rFonts w:ascii="Calibri" w:hAnsi="Calibri"/>
                <w:sz w:val="22"/>
              </w:rPr>
              <w:t>Chairman, President &amp; CEO</w:t>
            </w:r>
          </w:p>
        </w:tc>
        <w:tc>
          <w:tcPr>
            <w:tcW w:type="dxa" w:w="1440"/>
          </w:tcPr>
          <w:p>
            <w:r>
              <w:rPr>
                <w:rFonts w:ascii="Calibri" w:hAnsi="Calibri"/>
                <w:sz w:val="22"/>
              </w:rPr>
              <w:t>10b5-1 Planned Sale</w:t>
            </w:r>
          </w:p>
        </w:tc>
        <w:tc>
          <w:tcPr>
            <w:tcW w:type="dxa" w:w="1440"/>
          </w:tcPr>
          <w:p>
            <w:r>
              <w:rPr>
                <w:rFonts w:ascii="Calibri" w:hAnsi="Calibri"/>
                <w:sz w:val="22"/>
              </w:rPr>
              <w:t>181,411</w:t>
            </w:r>
          </w:p>
        </w:tc>
        <w:tc>
          <w:tcPr>
            <w:tcW w:type="dxa" w:w="1440"/>
          </w:tcPr>
          <w:p>
            <w:r>
              <w:rPr>
                <w:rFonts w:ascii="Calibri" w:hAnsi="Calibri"/>
                <w:sz w:val="22"/>
              </w:rPr>
              <w:t>Jun 12, 2026</w:t>
            </w:r>
          </w:p>
        </w:tc>
        <w:tc>
          <w:tcPr>
            <w:tcW w:type="dxa" w:w="1440"/>
          </w:tcPr>
          <w:p>
            <w:r>
              <w:rPr>
                <w:rFonts w:ascii="Calibri" w:hAnsi="Calibri"/>
                <w:sz w:val="22"/>
              </w:rPr>
              <w:t>Pre-planned sale under 10b5-1; 703,444 shares retained post-transaction. Concurrent option exercise (99,911 shares acquired).</w:t>
            </w:r>
          </w:p>
        </w:tc>
      </w:tr>
      <w:tr>
        <w:tc>
          <w:tcPr>
            <w:tcW w:type="dxa" w:w="1440"/>
          </w:tcPr>
          <w:p>
            <w:r>
              <w:rPr>
                <w:rFonts w:ascii="Calibri" w:hAnsi="Calibri"/>
                <w:sz w:val="22"/>
              </w:rPr>
              <w:t>Simonelli, Lorenzo</w:t>
            </w:r>
          </w:p>
        </w:tc>
        <w:tc>
          <w:tcPr>
            <w:tcW w:type="dxa" w:w="1440"/>
          </w:tcPr>
          <w:p>
            <w:r>
              <w:rPr>
                <w:rFonts w:ascii="Calibri" w:hAnsi="Calibri"/>
                <w:sz w:val="22"/>
              </w:rPr>
              <w:t>Chairman, President &amp; CEO</w:t>
            </w:r>
          </w:p>
        </w:tc>
        <w:tc>
          <w:tcPr>
            <w:tcW w:type="dxa" w:w="1440"/>
          </w:tcPr>
          <w:p>
            <w:r>
              <w:rPr>
                <w:rFonts w:ascii="Calibri" w:hAnsi="Calibri"/>
                <w:sz w:val="22"/>
              </w:rPr>
              <w:t>10b5-1 Planned Sale</w:t>
            </w:r>
          </w:p>
        </w:tc>
        <w:tc>
          <w:tcPr>
            <w:tcW w:type="dxa" w:w="1440"/>
          </w:tcPr>
          <w:p>
            <w:r>
              <w:rPr>
                <w:rFonts w:ascii="Calibri" w:hAnsi="Calibri"/>
                <w:sz w:val="22"/>
              </w:rPr>
              <w:t>181,411</w:t>
            </w:r>
          </w:p>
        </w:tc>
        <w:tc>
          <w:tcPr>
            <w:tcW w:type="dxa" w:w="1440"/>
          </w:tcPr>
          <w:p>
            <w:r>
              <w:rPr>
                <w:rFonts w:ascii="Calibri" w:hAnsi="Calibri"/>
                <w:sz w:val="22"/>
              </w:rPr>
              <w:t>Jun 22, 2026</w:t>
            </w:r>
          </w:p>
        </w:tc>
        <w:tc>
          <w:tcPr>
            <w:tcW w:type="dxa" w:w="1440"/>
          </w:tcPr>
          <w:p>
            <w:r>
              <w:rPr>
                <w:rFonts w:ascii="Calibri" w:hAnsi="Calibri"/>
                <w:sz w:val="22"/>
              </w:rPr>
              <w:t>Second tranche of pre-planned 10b5-1 sale; concurrent option exercise (99,911 shares acquired).</w:t>
            </w:r>
          </w:p>
        </w:tc>
      </w:tr>
      <w:tr>
        <w:tc>
          <w:tcPr>
            <w:tcW w:type="dxa" w:w="1440"/>
          </w:tcPr>
          <w:p>
            <w:r>
              <w:rPr>
                <w:rFonts w:ascii="Calibri" w:hAnsi="Calibri"/>
                <w:sz w:val="22"/>
              </w:rPr>
              <w:t>Moghal, Ahmed Farhan</w:t>
            </w:r>
          </w:p>
        </w:tc>
        <w:tc>
          <w:tcPr>
            <w:tcW w:type="dxa" w:w="1440"/>
          </w:tcPr>
          <w:p>
            <w:r>
              <w:rPr>
                <w:rFonts w:ascii="Calibri" w:hAnsi="Calibri"/>
                <w:sz w:val="22"/>
              </w:rPr>
              <w:t>EVP, Chief Financial Officer</w:t>
            </w:r>
          </w:p>
        </w:tc>
        <w:tc>
          <w:tcPr>
            <w:tcW w:type="dxa" w:w="1440"/>
          </w:tcPr>
          <w:p>
            <w:r>
              <w:rPr>
                <w:rFonts w:ascii="Calibri" w:hAnsi="Calibri"/>
                <w:sz w:val="22"/>
              </w:rPr>
              <w:t>10b5-1 Planned Sale</w:t>
            </w:r>
          </w:p>
        </w:tc>
        <w:tc>
          <w:tcPr>
            <w:tcW w:type="dxa" w:w="1440"/>
          </w:tcPr>
          <w:p>
            <w:r>
              <w:rPr>
                <w:rFonts w:ascii="Calibri" w:hAnsi="Calibri"/>
                <w:sz w:val="22"/>
              </w:rPr>
              <w:t>20,000 (direct) + 3,392 (spouse)</w:t>
            </w:r>
          </w:p>
        </w:tc>
        <w:tc>
          <w:tcPr>
            <w:tcW w:type="dxa" w:w="1440"/>
          </w:tcPr>
          <w:p>
            <w:r>
              <w:rPr>
                <w:rFonts w:ascii="Calibri" w:hAnsi="Calibri"/>
                <w:sz w:val="22"/>
              </w:rPr>
              <w:t>Jun 15, 2026</w:t>
            </w:r>
          </w:p>
        </w:tc>
        <w:tc>
          <w:tcPr>
            <w:tcW w:type="dxa" w:w="1440"/>
          </w:tcPr>
          <w:p>
            <w:r>
              <w:rPr>
                <w:rFonts w:ascii="Calibri" w:hAnsi="Calibri"/>
                <w:sz w:val="22"/>
              </w:rPr>
              <w:t>Pre-planned 10b5-1 sale; 20,980 shares retained post-transaction.</w:t>
            </w:r>
          </w:p>
        </w:tc>
      </w:tr>
      <w:tr>
        <w:tc>
          <w:tcPr>
            <w:tcW w:type="dxa" w:w="1440"/>
          </w:tcPr>
          <w:p>
            <w:r>
              <w:rPr>
                <w:rFonts w:ascii="Calibri" w:hAnsi="Calibri"/>
                <w:sz w:val="22"/>
              </w:rPr>
              <w:t>Borras, Maria C.</w:t>
            </w:r>
          </w:p>
        </w:tc>
        <w:tc>
          <w:tcPr>
            <w:tcW w:type="dxa" w:w="1440"/>
          </w:tcPr>
          <w:p>
            <w:r>
              <w:rPr>
                <w:rFonts w:ascii="Calibri" w:hAnsi="Calibri"/>
                <w:sz w:val="22"/>
              </w:rPr>
              <w:t>Chief Growth &amp; Experience Officer</w:t>
            </w:r>
          </w:p>
        </w:tc>
        <w:tc>
          <w:tcPr>
            <w:tcW w:type="dxa" w:w="1440"/>
          </w:tcPr>
          <w:p>
            <w:r>
              <w:rPr>
                <w:rFonts w:ascii="Calibri" w:hAnsi="Calibri"/>
                <w:sz w:val="22"/>
              </w:rPr>
              <w:t>10b5-1 Planned Sale</w:t>
            </w:r>
          </w:p>
        </w:tc>
        <w:tc>
          <w:tcPr>
            <w:tcW w:type="dxa" w:w="1440"/>
          </w:tcPr>
          <w:p>
            <w:r>
              <w:rPr>
                <w:rFonts w:ascii="Calibri" w:hAnsi="Calibri"/>
                <w:sz w:val="22"/>
              </w:rPr>
              <w:t>72,000</w:t>
            </w:r>
          </w:p>
        </w:tc>
        <w:tc>
          <w:tcPr>
            <w:tcW w:type="dxa" w:w="1440"/>
          </w:tcPr>
          <w:p>
            <w:r>
              <w:rPr>
                <w:rFonts w:ascii="Calibri" w:hAnsi="Calibri"/>
                <w:sz w:val="22"/>
              </w:rPr>
              <w:t>Jul 1, 2026</w:t>
            </w:r>
          </w:p>
        </w:tc>
        <w:tc>
          <w:tcPr>
            <w:tcW w:type="dxa" w:w="1440"/>
          </w:tcPr>
          <w:p>
            <w:r>
              <w:rPr>
                <w:rFonts w:ascii="Calibri" w:hAnsi="Calibri"/>
                <w:sz w:val="22"/>
              </w:rPr>
              <w:t>Pre-planned 10b5-1 sale; 20,035 shares retained post-transaction.</w:t>
            </w:r>
          </w:p>
        </w:tc>
      </w:tr>
      <w:tr>
        <w:tc>
          <w:tcPr>
            <w:tcW w:type="dxa" w:w="1440"/>
          </w:tcPr>
          <w:p>
            <w:r>
              <w:rPr>
                <w:rFonts w:ascii="Calibri" w:hAnsi="Calibri"/>
                <w:sz w:val="22"/>
              </w:rPr>
              <w:t>Apostolides, James E.</w:t>
            </w:r>
          </w:p>
        </w:tc>
        <w:tc>
          <w:tcPr>
            <w:tcW w:type="dxa" w:w="1440"/>
          </w:tcPr>
          <w:p>
            <w:r>
              <w:rPr>
                <w:rFonts w:ascii="Calibri" w:hAnsi="Calibri"/>
                <w:sz w:val="22"/>
              </w:rPr>
              <w:t>Chief Infrastructure &amp; Performance Officer</w:t>
            </w:r>
          </w:p>
        </w:tc>
        <w:tc>
          <w:tcPr>
            <w:tcW w:type="dxa" w:w="1440"/>
          </w:tcPr>
          <w:p>
            <w:r>
              <w:rPr>
                <w:rFonts w:ascii="Calibri" w:hAnsi="Calibri"/>
                <w:sz w:val="22"/>
              </w:rPr>
              <w:t>10b5-1 Planned Sale</w:t>
            </w:r>
          </w:p>
        </w:tc>
        <w:tc>
          <w:tcPr>
            <w:tcW w:type="dxa" w:w="1440"/>
          </w:tcPr>
          <w:p>
            <w:r>
              <w:rPr>
                <w:rFonts w:ascii="Calibri" w:hAnsi="Calibri"/>
                <w:sz w:val="22"/>
              </w:rPr>
              <w:t>12,261</w:t>
            </w:r>
          </w:p>
        </w:tc>
        <w:tc>
          <w:tcPr>
            <w:tcW w:type="dxa" w:w="1440"/>
          </w:tcPr>
          <w:p>
            <w:r>
              <w:rPr>
                <w:rFonts w:ascii="Calibri" w:hAnsi="Calibri"/>
                <w:sz w:val="22"/>
              </w:rPr>
              <w:t>May 19, 2026</w:t>
            </w:r>
          </w:p>
        </w:tc>
        <w:tc>
          <w:tcPr>
            <w:tcW w:type="dxa" w:w="1440"/>
          </w:tcPr>
          <w:p>
            <w:r>
              <w:rPr>
                <w:rFonts w:ascii="Calibri" w:hAnsi="Calibri"/>
                <w:sz w:val="22"/>
              </w:rPr>
              <w:t>Pre-planned 10b5-1 sale; 15,449 shares retained post-transaction.</w:t>
            </w:r>
          </w:p>
        </w:tc>
      </w:tr>
    </w:tbl>
    <w:p>
      <w:r>
        <w:rPr>
          <w:rFonts w:ascii="Calibri" w:hAnsi="Calibri"/>
          <w:b/>
          <w:color w:val="525866"/>
          <w:sz w:val="22"/>
        </w:rPr>
        <w:t xml:space="preserve">Note: </w:t>
      </w:r>
      <w:r>
        <w:rPr>
          <w:rFonts w:ascii="Calibri" w:hAnsi="Calibri"/>
          <w:color w:val="525866"/>
          <w:sz w:val="22"/>
        </w:rPr>
        <w:t>All transactions are 10b5-1 planned sales (pre-scheduled, non-discretionary). No open-market buys were filed in the period. Director deferred stock unit awards (Form 4 code 'A') are excluded as they are non-economic compensation grants, not market purchases. Baker Hughes Holdings LLC (GE legacy entity) filed a routine exchange/conversion transaction (code 'J') on April 30, 2026 for 342,922 Class B shares — this is a structural exchange, not a market sale.</w:t>
      </w:r>
    </w:p>
    <w:p>
      <w:r>
        <w:rPr>
          <w:rFonts w:ascii="Calibri" w:hAnsi="Calibri"/>
          <w:b/>
          <w:color w:val="525866"/>
          <w:sz w:val="22"/>
        </w:rPr>
        <w:t xml:space="preserve">Source: </w:t>
      </w:r>
      <w:r>
        <w:rPr>
          <w:rFonts w:ascii="Calibri" w:hAnsi="Calibri"/>
          <w:color w:val="525866"/>
          <w:sz w:val="22"/>
        </w:rPr>
        <w:t>SEC Form 4 filings via Insider Transaction Data.</w:t>
      </w:r>
    </w:p>
    <w:p>
      <w:r>
        <w:br w:type="page"/>
      </w:r>
    </w:p>
    <w:p>
      <w:pPr>
        <w:pStyle w:val="Heading1"/>
        <w:pBdr>
          <w:bottom w:val="single" w:sz="4" w:space="1" w:color="FB9120"/>
        </w:pBdr>
      </w:pPr>
      <w:r>
        <w:rPr>
          <w:rFonts w:ascii="Calibri" w:hAnsi="Calibri"/>
          <w:b/>
          <w:color w:val="3B4259"/>
          <w:sz w:val="40"/>
        </w:rPr>
        <w:t>8. Peer Commentaries — Q2 2026 Read-Through</w:t>
      </w:r>
    </w:p>
    <w:p>
      <w:r>
        <w:rPr>
          <w:rFonts w:ascii="Calibri" w:hAnsi="Calibri"/>
          <w:b/>
          <w:color w:val="525866"/>
          <w:sz w:val="22"/>
        </w:rPr>
        <w:t xml:space="preserve">Key Takeaway: </w:t>
      </w:r>
      <w:r>
        <w:rPr>
          <w:rFonts w:ascii="Calibri" w:hAnsi="Calibri"/>
          <w:color w:val="525866"/>
          <w:sz w:val="22"/>
        </w:rPr>
        <w:t>Both SLB (reported July 24) and HAL (reported July 21) confirm the key read-throughs for BKR's Q2 2026: Middle East activity is recovering gradually but not yet at pre-conflict levels; international markets ex-Middle East are growing strongly; and data center / power / LNG demand is accelerating — all of which are net positives for BKR's IET segment and validate the order surge.</w:t>
      </w:r>
    </w:p>
    <w:p>
      <w:r>
        <w:rPr>
          <w:rFonts w:ascii="Calibri" w:hAnsi="Calibri"/>
          <w:b/>
          <w:color w:val="525866"/>
          <w:sz w:val="22"/>
        </w:rPr>
        <w:t xml:space="preserve">Note on scope: </w:t>
      </w:r>
      <w:r>
        <w:rPr>
          <w:rFonts w:ascii="Calibri" w:hAnsi="Calibri"/>
          <w:color w:val="525866"/>
          <w:sz w:val="22"/>
        </w:rPr>
        <w:t>Only commentary from SLB's Q2 2026 earnings call (July 24, 2026) and HAL's Q2 2026 earnings call (July 21, 2026) is included below, as these are the only peer transcripts covering the current reporting quarter (Q2 2026). Prior-quarter transcripts (Q1 2026) are excluded per the user's instruction to include only commentary about the current reporting quarter.</w:t>
      </w:r>
    </w:p>
    <w:p>
      <w:pPr>
        <w:pStyle w:val="Heading2"/>
      </w:pPr>
      <w:r>
        <w:rPr>
          <w:rFonts w:ascii="Calibri" w:hAnsi="Calibri"/>
          <w:b/>
          <w:color w:val="3B4259"/>
          <w:sz w:val="28"/>
        </w:rPr>
        <w:t>SLB — Q2 2026 Earnings Call (July 24, 2026)</w:t>
      </w:r>
    </w:p>
    <w:p>
      <w:pPr>
        <w:pStyle w:val="Heading3"/>
      </w:pPr>
      <w:r>
        <w:rPr>
          <w:rFonts w:ascii="Calibri" w:hAnsi="Calibri"/>
          <w:b/>
          <w:color w:val="3B4259"/>
          <w:sz w:val="24"/>
        </w:rPr>
        <w:t>Middle East Recovery: Gradual, Country-by-Country, Not a V-Shape</w:t>
      </w:r>
    </w:p>
    <w:p>
      <w:r>
        <w:rPr>
          <w:rFonts w:ascii="Calibri" w:hAnsi="Calibri"/>
          <w:b/>
          <w:color w:val="525866"/>
          <w:sz w:val="22"/>
        </w:rPr>
        <w:t xml:space="preserve">Read-through for BKR: </w:t>
      </w:r>
      <w:r>
        <w:rPr>
          <w:rFonts w:ascii="Calibri" w:hAnsi="Calibri"/>
          <w:color w:val="525866"/>
          <w:sz w:val="22"/>
        </w:rPr>
        <w:t>Confirms OFSE Middle East recovery is real but measured, supporting BKR's Q2 OFSE beat and validating management's cautious H2 assumptions.</w:t>
      </w:r>
    </w:p>
    <w:p>
      <w:pPr>
        <w:pStyle w:val="ListBullet"/>
        <w:ind w:left="360" w:hanging="360"/>
      </w:pPr>
      <w:r>
        <w:rPr>
          <w:rFonts w:ascii="Calibri" w:hAnsi="Calibri"/>
          <w:color w:val="525866"/>
          <w:sz w:val="22"/>
        </w:rPr>
        <w:t>SLB noted Middle East revenue fell 13% sequentially to $1.66B in Q2 2026, but activity resumed in several countries. Operations in Iraq remained constrained by security challenges.</w:t>
      </w:r>
    </w:p>
    <w:p>
      <w:pPr>
        <w:pStyle w:val="ListBullet"/>
        <w:ind w:left="360" w:hanging="360"/>
      </w:pPr>
      <w:r>
        <w:rPr>
          <w:rFonts w:ascii="Calibri" w:hAnsi="Calibri"/>
          <w:color w:val="525866"/>
          <w:sz w:val="22"/>
        </w:rPr>
        <w:t>"We believe that it would not be prudent to assume that things will restart in weeks. The conditions have not been met yet, particularly around security in some countries, specifically Iraq, and for production capacity in Kuwait."</w:t>
      </w:r>
    </w:p>
    <w:p>
      <w:pPr>
        <w:pStyle w:val="ListBullet"/>
        <w:ind w:left="360" w:hanging="360"/>
      </w:pPr>
      <w:r>
        <w:rPr>
          <w:rFonts w:ascii="Calibri" w:hAnsi="Calibri"/>
          <w:color w:val="525866"/>
          <w:sz w:val="22"/>
        </w:rPr>
        <w:t>SLB's base case for Q3 assumes a gradual recovery in Middle East activity consistent with the pace observed toward the end of Q2. A downside scenario (flat sequential Middle East revenue) would reduce Q3 revenue by ~$150M and EBITDA by ~$75M.</w:t>
      </w:r>
    </w:p>
    <w:p>
      <w:pPr>
        <w:pStyle w:val="ListBullet"/>
        <w:ind w:left="360" w:hanging="360"/>
      </w:pPr>
      <w:r>
        <w:rPr>
          <w:rFonts w:ascii="Calibri" w:hAnsi="Calibri"/>
          <w:color w:val="525866"/>
          <w:sz w:val="22"/>
        </w:rPr>
        <w:t>SLB's preliminary Q4 outlook assumes Middle East activity reaches ~95% of Q4 2025 levels ($2.1–$2.2B), supporting Q4 revenue &gt;$10B (+5% YoY).</w:t>
      </w:r>
    </w:p>
    <w:p>
      <w:pPr>
        <w:pStyle w:val="ListBullet"/>
        <w:ind w:left="360" w:hanging="360"/>
      </w:pPr>
      <w:r>
        <w:rPr>
          <w:rFonts w:ascii="Calibri" w:hAnsi="Calibri"/>
          <w:color w:val="525866"/>
          <w:sz w:val="22"/>
        </w:rPr>
        <w:t>Initial recovery work is expected to involve well intervention, digital deployment to optimize existing wells, and capacity expansion in countries that can mobilize rigs.</w:t>
      </w:r>
    </w:p>
    <w:p>
      <w:pPr>
        <w:pStyle w:val="Heading3"/>
      </w:pPr>
      <w:r>
        <w:rPr>
          <w:rFonts w:ascii="Calibri" w:hAnsi="Calibri"/>
          <w:b/>
          <w:color w:val="3B4259"/>
          <w:sz w:val="24"/>
        </w:rPr>
        <w:t>International Activity Ex-Middle East: Broad-Based Growth, FIDs Accelerating</w:t>
      </w:r>
    </w:p>
    <w:p>
      <w:r>
        <w:rPr>
          <w:rFonts w:ascii="Calibri" w:hAnsi="Calibri"/>
          <w:b/>
          <w:color w:val="525866"/>
          <w:sz w:val="22"/>
        </w:rPr>
        <w:t xml:space="preserve">Read-through for BKR: </w:t>
      </w:r>
      <w:r>
        <w:rPr>
          <w:rFonts w:ascii="Calibri" w:hAnsi="Calibri"/>
          <w:color w:val="525866"/>
          <w:sz w:val="22"/>
        </w:rPr>
        <w:t>Supports BKR's OFSE international recovery thesis and validates IET's LNG/gas infrastructure order pipeline.</w:t>
      </w:r>
    </w:p>
    <w:p>
      <w:pPr>
        <w:pStyle w:val="ListBullet"/>
        <w:ind w:left="360" w:hanging="360"/>
      </w:pPr>
      <w:r>
        <w:rPr>
          <w:rFonts w:ascii="Calibri" w:hAnsi="Calibri"/>
          <w:color w:val="525866"/>
          <w:sz w:val="22"/>
        </w:rPr>
        <w:t>SLB reported broad-based international growth in Q2, with higher offshore activity in Latin America (Brazil, Guyana, Mexico), Europe/Africa (Scandinavia, Nigeria), and Asia (China, Indonesia, India, Australia).</w:t>
      </w:r>
    </w:p>
    <w:p>
      <w:pPr>
        <w:pStyle w:val="ListBullet"/>
        <w:ind w:left="360" w:hanging="360"/>
      </w:pPr>
      <w:r>
        <w:rPr>
          <w:rFonts w:ascii="Calibri" w:hAnsi="Calibri"/>
          <w:color w:val="525866"/>
          <w:sz w:val="22"/>
        </w:rPr>
        <w:t>"The market is starting to exhibit the characteristics of an upcycle. International activity is growing, supported by fundamentals including inventory replenishment, supply diversification, and energy security."</w:t>
      </w:r>
    </w:p>
    <w:p>
      <w:pPr>
        <w:pStyle w:val="ListBullet"/>
        <w:ind w:left="360" w:hanging="360"/>
      </w:pPr>
      <w:r>
        <w:rPr>
          <w:rFonts w:ascii="Calibri" w:hAnsi="Calibri"/>
          <w:color w:val="525866"/>
          <w:sz w:val="22"/>
        </w:rPr>
        <w:t>Final investment decisions (FIDs) for long-cycle projects are expected to increase by approximately 30% year-on-year in 2026, supporting higher exploration spending and upstream CapEx growth in H2 2026, led by Africa, with a more meaningful impact in 2027 extending to Latin America and Asia.</w:t>
      </w:r>
    </w:p>
    <w:p>
      <w:pPr>
        <w:pStyle w:val="ListBullet"/>
        <w:ind w:left="360" w:hanging="360"/>
      </w:pPr>
      <w:r>
        <w:rPr>
          <w:rFonts w:ascii="Calibri" w:hAnsi="Calibri"/>
          <w:color w:val="525866"/>
          <w:sz w:val="22"/>
        </w:rPr>
        <w:t>Gas development continues to be a driver, particularly in East Asia following FIDs and contracts — a direct read-through for BKR's LNG equipment backlog.</w:t>
      </w:r>
    </w:p>
    <w:p>
      <w:pPr>
        <w:pStyle w:val="Heading3"/>
      </w:pPr>
      <w:r>
        <w:rPr>
          <w:rFonts w:ascii="Calibri" w:hAnsi="Calibri"/>
          <w:b/>
          <w:color w:val="3B4259"/>
          <w:sz w:val="24"/>
        </w:rPr>
        <w:t>Data Center Solutions: SLB Targets $2B+ Annualized Run Rate by End of 2027</w:t>
      </w:r>
    </w:p>
    <w:p>
      <w:r>
        <w:rPr>
          <w:rFonts w:ascii="Calibri" w:hAnsi="Calibri"/>
          <w:b/>
          <w:color w:val="525866"/>
          <w:sz w:val="22"/>
        </w:rPr>
        <w:t xml:space="preserve">Read-through for BKR: </w:t>
      </w:r>
      <w:r>
        <w:rPr>
          <w:rFonts w:ascii="Calibri" w:hAnsi="Calibri"/>
          <w:color w:val="525866"/>
          <w:sz w:val="22"/>
        </w:rPr>
        <w:t>Validates the structural data center demand theme driving BKR's NovaLT turbine orders; SLB's $2B+ target by end-2027 confirms the market is large enough to support multiple players.</w:t>
      </w:r>
    </w:p>
    <w:p>
      <w:pPr>
        <w:pStyle w:val="ListBullet"/>
        <w:ind w:left="360" w:hanging="360"/>
      </w:pPr>
      <w:r>
        <w:rPr>
          <w:rFonts w:ascii="Calibri" w:hAnsi="Calibri"/>
          <w:color w:val="525866"/>
          <w:sz w:val="22"/>
        </w:rPr>
        <w:t>SLB's Data Center Solutions revenue grew 33% sequentially and 80% year-on-year in Q2 2026, supported by new hyperscale customers and a broader scope of offerings evolving beyond manufacturing into data center design, engineering, and system integration.</w:t>
      </w:r>
    </w:p>
    <w:p>
      <w:pPr>
        <w:pStyle w:val="ListBullet"/>
        <w:ind w:left="360" w:hanging="360"/>
      </w:pPr>
      <w:r>
        <w:rPr>
          <w:rFonts w:ascii="Calibri" w:hAnsi="Calibri"/>
          <w:color w:val="525866"/>
          <w:sz w:val="22"/>
        </w:rPr>
        <w:t>"We now foresee that Data Center Solutions will exit 2027 at an annualized revenue run rate exceeding $2 billion. The backlog is already in place to support this."</w:t>
      </w:r>
    </w:p>
    <w:p>
      <w:pPr>
        <w:pStyle w:val="ListBullet"/>
        <w:ind w:left="360" w:hanging="360"/>
      </w:pPr>
      <w:r>
        <w:rPr>
          <w:rFonts w:ascii="Calibri" w:hAnsi="Calibri"/>
          <w:color w:val="525866"/>
          <w:sz w:val="22"/>
        </w:rPr>
        <w:t>SLB is expanding into adjacent capabilities including decarbonized power and cooling solutions, and announced an alliance with Liberty Energy for behind-the-meter power generation and a pilot for next-generation geothermal power development.</w:t>
      </w:r>
    </w:p>
    <w:p>
      <w:pPr>
        <w:pStyle w:val="ListBullet"/>
        <w:ind w:left="360" w:hanging="360"/>
      </w:pPr>
      <w:r>
        <w:rPr>
          <w:rFonts w:ascii="Calibri" w:hAnsi="Calibri"/>
          <w:color w:val="525866"/>
          <w:sz w:val="22"/>
        </w:rPr>
        <w:t>Annual recurring revenue in SLB's Digital division increased 15% year-over-year, with digital adjusted EBITDA margins reaching ~35% in Q2 — highlighting the margin accretion potential of technology-driven energy infrastructure services.</w:t>
      </w:r>
    </w:p>
    <w:p>
      <w:pPr>
        <w:pStyle w:val="Heading3"/>
      </w:pPr>
      <w:r>
        <w:rPr>
          <w:rFonts w:ascii="Calibri" w:hAnsi="Calibri"/>
          <w:b/>
          <w:color w:val="3B4259"/>
          <w:sz w:val="24"/>
        </w:rPr>
        <w:t>Pricing &amp; Margins: Headwind in 2026, Expected to Normalize in 2027</w:t>
      </w:r>
    </w:p>
    <w:p>
      <w:r>
        <w:rPr>
          <w:rFonts w:ascii="Calibri" w:hAnsi="Calibri"/>
          <w:b/>
          <w:color w:val="525866"/>
          <w:sz w:val="22"/>
        </w:rPr>
        <w:t xml:space="preserve">Read-through for BKR: </w:t>
      </w:r>
      <w:r>
        <w:rPr>
          <w:rFonts w:ascii="Calibri" w:hAnsi="Calibri"/>
          <w:color w:val="525866"/>
          <w:sz w:val="22"/>
        </w:rPr>
        <w:t>Pricing pressure in OFS is a sector-wide dynamic but is less relevant to BKR's IET segment, which benefits from long-term backlog pricing; OFSE margin resilience at BKR (17.5% in Q2) is notable given this backdrop.</w:t>
      </w:r>
    </w:p>
    <w:p>
      <w:pPr>
        <w:pStyle w:val="ListBullet"/>
        <w:ind w:left="360" w:hanging="360"/>
      </w:pPr>
      <w:r>
        <w:rPr>
          <w:rFonts w:ascii="Calibri" w:hAnsi="Calibri"/>
          <w:color w:val="525866"/>
          <w:sz w:val="22"/>
        </w:rPr>
        <w:t>SLB noted pricing has been "generally speaking, globally a headwind in 2026, particularly in large competitive tenders" in stimulation, integration, and subsea. However, as the market tightens and mobilizes for additional growth, the pricing outlook is expected to improve and "will not necessarily be a headwind as we go forward in 2027 and beyond."</w:t>
      </w:r>
    </w:p>
    <w:p>
      <w:pPr>
        <w:pStyle w:val="ListBullet"/>
        <w:ind w:left="360" w:hanging="360"/>
      </w:pPr>
      <w:r>
        <w:rPr>
          <w:rFonts w:ascii="Calibri" w:hAnsi="Calibri"/>
          <w:color w:val="525866"/>
          <w:sz w:val="22"/>
        </w:rPr>
        <w:t>Despite Middle East headwinds, SLB's pretax segment operating margin increased 49 bps sequentially and adjusted EBITDA margin increased 83 bps sequentially in Q2 2026.</w:t>
      </w:r>
    </w:p>
    <w:p>
      <w:pPr>
        <w:pStyle w:val="Heading2"/>
      </w:pPr>
      <w:r>
        <w:rPr>
          <w:rFonts w:ascii="Calibri" w:hAnsi="Calibri"/>
          <w:b/>
          <w:color w:val="3B4259"/>
          <w:sz w:val="28"/>
        </w:rPr>
        <w:t>HAL — Q2 2026 Earnings Call (July 21, 2026)</w:t>
      </w:r>
    </w:p>
    <w:p>
      <w:pPr>
        <w:pStyle w:val="Heading3"/>
      </w:pPr>
      <w:r>
        <w:rPr>
          <w:rFonts w:ascii="Calibri" w:hAnsi="Calibri"/>
          <w:b/>
          <w:color w:val="3B4259"/>
          <w:sz w:val="24"/>
        </w:rPr>
        <w:t>Middle East: Recovering from Lows, Pace Dependent on Day-to-Day Events</w:t>
      </w:r>
    </w:p>
    <w:p>
      <w:r>
        <w:rPr>
          <w:rFonts w:ascii="Calibri" w:hAnsi="Calibri"/>
          <w:b/>
          <w:color w:val="525866"/>
          <w:sz w:val="22"/>
        </w:rPr>
        <w:t xml:space="preserve">Read-through for BKR: </w:t>
      </w:r>
      <w:r>
        <w:rPr>
          <w:rFonts w:ascii="Calibri" w:hAnsi="Calibri"/>
          <w:color w:val="525866"/>
          <w:sz w:val="22"/>
        </w:rPr>
        <w:t>HAL's commentary on Middle East recovery pace and Iraq/Bahrain disruptions is consistent with BKR's Q2 OFSE beat and supports the view that H2 2026 OFSE recovery will be gradual but real.</w:t>
      </w:r>
    </w:p>
    <w:p>
      <w:pPr>
        <w:pStyle w:val="ListBullet"/>
        <w:ind w:left="360" w:hanging="360"/>
      </w:pPr>
      <w:r>
        <w:rPr>
          <w:rFonts w:ascii="Calibri" w:hAnsi="Calibri"/>
          <w:color w:val="525866"/>
          <w:sz w:val="22"/>
        </w:rPr>
        <w:t>HAL reported international revenue of $3.4B in Q2 2026, its highest second-quarter international revenue in more than a decade, despite Middle East disruptions.</w:t>
      </w:r>
    </w:p>
    <w:p>
      <w:pPr>
        <w:pStyle w:val="ListBullet"/>
        <w:ind w:left="360" w:hanging="360"/>
      </w:pPr>
      <w:r>
        <w:rPr>
          <w:rFonts w:ascii="Calibri" w:hAnsi="Calibri"/>
          <w:color w:val="525866"/>
          <w:sz w:val="22"/>
        </w:rPr>
        <w:t>"Activity is recovering from the conflict lows, but the pace of recovery is still dependent on the day-to-day events in the region. Land well construction activity was largely steady across the region in Q2, with the exception of pockets of disruption in Iraq and Bahrain. Offshore activity increased but is not yet back to pre-conflict levels."</w:t>
      </w:r>
    </w:p>
    <w:p>
      <w:pPr>
        <w:pStyle w:val="ListBullet"/>
        <w:ind w:left="360" w:hanging="360"/>
      </w:pPr>
      <w:r>
        <w:rPr>
          <w:rFonts w:ascii="Calibri" w:hAnsi="Calibri"/>
          <w:color w:val="525866"/>
          <w:sz w:val="22"/>
        </w:rPr>
        <w:t>HAL's Q3 guidance assumes steady Middle East activity compared to current levels — no recovery to pre-war levels built in, and no major disruption assumed. This is a conservative but realistic baseline.</w:t>
      </w:r>
    </w:p>
    <w:p>
      <w:pPr>
        <w:pStyle w:val="ListBullet"/>
        <w:ind w:left="360" w:hanging="360"/>
      </w:pPr>
      <w:r>
        <w:rPr>
          <w:rFonts w:ascii="Calibri" w:hAnsi="Calibri"/>
          <w:color w:val="525866"/>
          <w:sz w:val="22"/>
        </w:rPr>
        <w:t>HAL announced a significant Integrated Field Management Service award in Iraq, which management described as "a foundational project that I expect will transform our business in the country" — a positive signal for long-cycle activity recovery in the region.</w:t>
      </w:r>
    </w:p>
    <w:p>
      <w:pPr>
        <w:pStyle w:val="Heading3"/>
      </w:pPr>
      <w:r>
        <w:rPr>
          <w:rFonts w:ascii="Calibri" w:hAnsi="Calibri"/>
          <w:b/>
          <w:color w:val="3B4259"/>
          <w:sz w:val="24"/>
        </w:rPr>
        <w:t>International Growth Engines: Ahead of Schedule, Upside to $2.5–$3B Target</w:t>
      </w:r>
    </w:p>
    <w:p>
      <w:r>
        <w:rPr>
          <w:rFonts w:ascii="Calibri" w:hAnsi="Calibri"/>
          <w:b/>
          <w:color w:val="525866"/>
          <w:sz w:val="22"/>
        </w:rPr>
        <w:t xml:space="preserve">Read-through for BKR: </w:t>
      </w:r>
      <w:r>
        <w:rPr>
          <w:rFonts w:ascii="Calibri" w:hAnsi="Calibri"/>
          <w:color w:val="525866"/>
          <w:sz w:val="22"/>
        </w:rPr>
        <w:t>HAL's international growth momentum in unconventionals, offshore, and production services validates the structural international upstream investment cycle that supports BKR's OFSE recovery and IET infrastructure demand.</w:t>
      </w:r>
    </w:p>
    <w:p>
      <w:pPr>
        <w:pStyle w:val="ListBullet"/>
        <w:ind w:left="360" w:hanging="360"/>
      </w:pPr>
      <w:r>
        <w:rPr>
          <w:rFonts w:ascii="Calibri" w:hAnsi="Calibri"/>
          <w:color w:val="525866"/>
          <w:sz w:val="22"/>
        </w:rPr>
        <w:t>HAL stated it is "ahead of schedule" on its target of adding $2.5–$3B of annual revenue from international growth engines by 2028, with potential upside to that number.</w:t>
      </w:r>
    </w:p>
    <w:p>
      <w:pPr>
        <w:pStyle w:val="ListBullet"/>
        <w:ind w:left="360" w:hanging="360"/>
      </w:pPr>
      <w:r>
        <w:rPr>
          <w:rFonts w:ascii="Calibri" w:hAnsi="Calibri"/>
          <w:color w:val="525866"/>
          <w:sz w:val="22"/>
        </w:rPr>
        <w:t>Key growth engines include production services, drilling, unconventionals, and artificial lift. HAL secured Sonatrach's first unconventional award in Algeria (multi-well integrated drilling and completions) and mobilized its first Zeus frac fleet in Argentina (planned Q4 startup).</w:t>
      </w:r>
    </w:p>
    <w:p>
      <w:pPr>
        <w:pStyle w:val="ListBullet"/>
        <w:ind w:left="360" w:hanging="360"/>
      </w:pPr>
      <w:r>
        <w:rPr>
          <w:rFonts w:ascii="Calibri" w:hAnsi="Calibri"/>
          <w:color w:val="525866"/>
          <w:sz w:val="22"/>
        </w:rPr>
        <w:t>HAL expects year-over-year growth in the low double digits in international markets outside the Middle East — a strong read-through for BKR's OFSE international recovery.</w:t>
      </w:r>
    </w:p>
    <w:p>
      <w:pPr>
        <w:pStyle w:val="ListBullet"/>
        <w:ind w:left="360" w:hanging="360"/>
      </w:pPr>
      <w:r>
        <w:rPr>
          <w:rFonts w:ascii="Calibri" w:hAnsi="Calibri"/>
          <w:color w:val="525866"/>
          <w:sz w:val="22"/>
        </w:rPr>
        <w:t>HAL expects "above normal incrementals" in 2027 and 2028, consistent with 30–35% incremental margins — supportive of the view that international OFS margins are in a multi-year expansion cycle.</w:t>
      </w:r>
    </w:p>
    <w:p>
      <w:pPr>
        <w:pStyle w:val="Heading3"/>
      </w:pPr>
      <w:r>
        <w:rPr>
          <w:rFonts w:ascii="Calibri" w:hAnsi="Calibri"/>
          <w:b/>
          <w:color w:val="3B4259"/>
          <w:sz w:val="24"/>
        </w:rPr>
        <w:t>North America: Recovery Underway, Pricing Improving</w:t>
      </w:r>
    </w:p>
    <w:p>
      <w:r>
        <w:rPr>
          <w:rFonts w:ascii="Calibri" w:hAnsi="Calibri"/>
          <w:b/>
          <w:color w:val="525866"/>
          <w:sz w:val="22"/>
        </w:rPr>
        <w:t xml:space="preserve">Read-through for BKR: </w:t>
      </w:r>
      <w:r>
        <w:rPr>
          <w:rFonts w:ascii="Calibri" w:hAnsi="Calibri"/>
          <w:color w:val="525866"/>
          <w:sz w:val="22"/>
        </w:rPr>
        <w:t>North America recovery is a modest positive for BKR's OFSE North America segment ($933M in Q2, up 1% sequentially), though BKR's NA exposure is smaller than HAL's.</w:t>
      </w:r>
    </w:p>
    <w:p>
      <w:pPr>
        <w:pStyle w:val="ListBullet"/>
        <w:ind w:left="360" w:hanging="360"/>
      </w:pPr>
      <w:r>
        <w:rPr>
          <w:rFonts w:ascii="Calibri" w:hAnsi="Calibri"/>
          <w:color w:val="525866"/>
          <w:sz w:val="22"/>
        </w:rPr>
        <w:t>HAL reported North America Q2 revenue of $2.3B, up 7% sequentially, driven by higher stimulation and well construction activity in US land and higher fluids activity in the Gulf of Mexico. "The market is in a recovery and I am encouraged by the shift in trajectory. Activity is up, pricing is improving and our playbook works."</w:t>
      </w:r>
    </w:p>
    <w:p>
      <w:pPr>
        <w:pStyle w:val="ListBullet"/>
        <w:ind w:left="360" w:hanging="360"/>
      </w:pPr>
      <w:r>
        <w:rPr>
          <w:rFonts w:ascii="Calibri" w:hAnsi="Calibri"/>
          <w:color w:val="525866"/>
          <w:sz w:val="22"/>
        </w:rPr>
        <w:t>HAL is seeing "modest pricing gains" and a "steady march" of price increases across its North America fleet, with willingness to redeploy equipment internationally for better margins.</w:t>
      </w:r>
    </w:p>
    <w:p>
      <w:pPr>
        <w:pStyle w:val="Heading3"/>
      </w:pPr>
      <w:r>
        <w:rPr>
          <w:rFonts w:ascii="Calibri" w:hAnsi="Calibri"/>
          <w:b/>
          <w:color w:val="3B4259"/>
          <w:sz w:val="24"/>
        </w:rPr>
        <w:t>Energy Security as a Structural Theme: Multi-Year Investment Cycle</w:t>
      </w:r>
    </w:p>
    <w:p>
      <w:r>
        <w:rPr>
          <w:rFonts w:ascii="Calibri" w:hAnsi="Calibri"/>
          <w:b/>
          <w:color w:val="525866"/>
          <w:sz w:val="22"/>
        </w:rPr>
        <w:t xml:space="preserve">Read-through for BKR: </w:t>
      </w:r>
      <w:r>
        <w:rPr>
          <w:rFonts w:ascii="Calibri" w:hAnsi="Calibri"/>
          <w:color w:val="525866"/>
          <w:sz w:val="22"/>
        </w:rPr>
        <w:t>Both SLB and HAL frame energy security as a multi-year structural driver — directly validating BKR management's thesis that the Middle East conflict has made energy security a 'foundational priority' and supports the Horizon 2 IET order target raise to &gt;$45B.</w:t>
      </w:r>
    </w:p>
    <w:p>
      <w:pPr>
        <w:pStyle w:val="ListBullet"/>
        <w:ind w:left="360" w:hanging="360"/>
      </w:pPr>
      <w:r>
        <w:rPr>
          <w:rFonts w:ascii="Calibri" w:hAnsi="Calibri"/>
          <w:color w:val="525866"/>
          <w:sz w:val="22"/>
        </w:rPr>
        <w:t>HAL: "Energy security remains a central issue for both producing and consuming nations. To achieve it, countries must rebuild inventories, refill and expand strategic reserves, and diversify supply. I expect this work will take years, not quarters."</w:t>
      </w:r>
    </w:p>
    <w:p>
      <w:pPr>
        <w:pStyle w:val="ListBullet"/>
        <w:ind w:left="360" w:hanging="360"/>
      </w:pPr>
      <w:r>
        <w:rPr>
          <w:rFonts w:ascii="Calibri" w:hAnsi="Calibri"/>
          <w:color w:val="525866"/>
          <w:sz w:val="22"/>
        </w:rPr>
        <w:t>SLB: "The market is starting to exhibit the characteristics of an upcycle. International activity is growing, supported by fundamentals including inventory replenishment, supply diversification, and energy security." FIDs for long-cycle projects expected to increase ~30% YoY in 2026.</w:t>
      </w:r>
    </w:p>
    <w:p>
      <w:pPr>
        <w:pStyle w:val="ListBullet"/>
        <w:ind w:left="360" w:hanging="360"/>
      </w:pPr>
      <w:r>
        <w:rPr>
          <w:rFonts w:ascii="Calibri" w:hAnsi="Calibri"/>
          <w:color w:val="525866"/>
          <w:sz w:val="22"/>
        </w:rPr>
        <w:t>HAL's outlook for 2027 is "compelling," combining Middle East rebound, offshore deepwater setup, and production recovery strengths — consistent with BKR's own bullish multi-year IET and OFSE outlook.</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SLB Signal (Q2 2026)</w:t>
            </w:r>
          </w:p>
        </w:tc>
        <w:tc>
          <w:tcPr>
            <w:tcW w:type="dxa" w:w="2160"/>
            <w:shd w:val="clear" w:color="auto" w:fill="3B4259"/>
          </w:tcPr>
          <w:p>
            <w:r>
              <w:rPr>
                <w:rFonts w:ascii="Calibri" w:hAnsi="Calibri"/>
                <w:b/>
                <w:color w:val="FFFFFF"/>
                <w:sz w:val="22"/>
              </w:rPr>
              <w:t>HAL Signal (Q2 2026)</w:t>
            </w:r>
          </w:p>
        </w:tc>
        <w:tc>
          <w:tcPr>
            <w:tcW w:type="dxa" w:w="2160"/>
            <w:shd w:val="clear" w:color="auto" w:fill="3B4259"/>
          </w:tcPr>
          <w:p>
            <w:r>
              <w:rPr>
                <w:rFonts w:ascii="Calibri" w:hAnsi="Calibri"/>
                <w:b/>
                <w:color w:val="FFFFFF"/>
                <w:sz w:val="22"/>
              </w:rPr>
              <w:t>BKR Read-Through</w:t>
            </w:r>
          </w:p>
        </w:tc>
      </w:tr>
      <w:tr>
        <w:tc>
          <w:tcPr>
            <w:tcW w:type="dxa" w:w="2160"/>
          </w:tcPr>
          <w:p>
            <w:r>
              <w:rPr>
                <w:rFonts w:ascii="Calibri" w:hAnsi="Calibri"/>
                <w:sz w:val="22"/>
              </w:rPr>
              <w:t>Middle East Recovery</w:t>
            </w:r>
          </w:p>
        </w:tc>
        <w:tc>
          <w:tcPr>
            <w:tcW w:type="dxa" w:w="2160"/>
          </w:tcPr>
          <w:p>
            <w:r>
              <w:rPr>
                <w:rFonts w:ascii="Calibri" w:hAnsi="Calibri"/>
                <w:sz w:val="22"/>
              </w:rPr>
              <w:t>Gradual; Iraq constrained; 95% of pre-conflict by Q4</w:t>
            </w:r>
          </w:p>
        </w:tc>
        <w:tc>
          <w:tcPr>
            <w:tcW w:type="dxa" w:w="2160"/>
          </w:tcPr>
          <w:p>
            <w:r>
              <w:rPr>
                <w:rFonts w:ascii="Calibri" w:hAnsi="Calibri"/>
                <w:sz w:val="22"/>
              </w:rPr>
              <w:t>Recovering from lows; steady Q3 assumed; no V-shape</w:t>
            </w:r>
          </w:p>
        </w:tc>
        <w:tc>
          <w:tcPr>
            <w:tcW w:type="dxa" w:w="2160"/>
          </w:tcPr>
          <w:p>
            <w:r>
              <w:rPr>
                <w:rFonts w:ascii="Calibri" w:hAnsi="Calibri"/>
                <w:b/>
                <w:color w:val="30A46C"/>
                <w:sz w:val="22"/>
              </w:rPr>
              <w:t>Positive: OFSE Q2 beat validates faster-than-feared recovery; H2 OFSE guidance conservative</w:t>
            </w:r>
          </w:p>
        </w:tc>
      </w:tr>
      <w:tr>
        <w:tc>
          <w:tcPr>
            <w:tcW w:type="dxa" w:w="2160"/>
          </w:tcPr>
          <w:p>
            <w:r>
              <w:rPr>
                <w:rFonts w:ascii="Calibri" w:hAnsi="Calibri"/>
                <w:sz w:val="22"/>
              </w:rPr>
              <w:t>International Ex-ME</w:t>
            </w:r>
          </w:p>
        </w:tc>
        <w:tc>
          <w:tcPr>
            <w:tcW w:type="dxa" w:w="2160"/>
          </w:tcPr>
          <w:p>
            <w:r>
              <w:rPr>
                <w:rFonts w:ascii="Calibri" w:hAnsi="Calibri"/>
                <w:sz w:val="22"/>
              </w:rPr>
              <w:t>Broad-based growth; FIDs +30% YoY; upcycle characteristics</w:t>
            </w:r>
          </w:p>
        </w:tc>
        <w:tc>
          <w:tcPr>
            <w:tcW w:type="dxa" w:w="2160"/>
          </w:tcPr>
          <w:p>
            <w:r>
              <w:rPr>
                <w:rFonts w:ascii="Calibri" w:hAnsi="Calibri"/>
                <w:sz w:val="22"/>
              </w:rPr>
              <w:t>Low double-digit YoY growth; ahead of schedule on $2.5–$3B target</w:t>
            </w:r>
          </w:p>
        </w:tc>
        <w:tc>
          <w:tcPr>
            <w:tcW w:type="dxa" w:w="2160"/>
          </w:tcPr>
          <w:p>
            <w:r>
              <w:rPr>
                <w:rFonts w:ascii="Calibri" w:hAnsi="Calibri"/>
                <w:b/>
                <w:color w:val="30A46C"/>
                <w:sz w:val="22"/>
              </w:rPr>
              <w:t>Positive: Supports OFSE international recovery and IET infrastructure demand</w:t>
            </w:r>
          </w:p>
        </w:tc>
      </w:tr>
      <w:tr>
        <w:tc>
          <w:tcPr>
            <w:tcW w:type="dxa" w:w="2160"/>
          </w:tcPr>
          <w:p>
            <w:r>
              <w:rPr>
                <w:rFonts w:ascii="Calibri" w:hAnsi="Calibri"/>
                <w:sz w:val="22"/>
              </w:rPr>
              <w:t>Data Center / Power</w:t>
            </w:r>
          </w:p>
        </w:tc>
        <w:tc>
          <w:tcPr>
            <w:tcW w:type="dxa" w:w="2160"/>
          </w:tcPr>
          <w:p>
            <w:r>
              <w:rPr>
                <w:rFonts w:ascii="Calibri" w:hAnsi="Calibri"/>
                <w:sz w:val="22"/>
              </w:rPr>
              <w:t>Data Center Solutions +80% YoY; $2B+ annualized run rate by end-2027</w:t>
            </w:r>
          </w:p>
        </w:tc>
        <w:tc>
          <w:tcPr>
            <w:tcW w:type="dxa" w:w="2160"/>
          </w:tcPr>
          <w:p>
            <w:r>
              <w:rPr>
                <w:rFonts w:ascii="Calibri" w:hAnsi="Calibri"/>
                <w:sz w:val="22"/>
              </w:rPr>
              <w:t>Not specifically discussed</w:t>
            </w:r>
          </w:p>
        </w:tc>
        <w:tc>
          <w:tcPr>
            <w:tcW w:type="dxa" w:w="2160"/>
          </w:tcPr>
          <w:p>
            <w:r>
              <w:rPr>
                <w:rFonts w:ascii="Calibri" w:hAnsi="Calibri"/>
                <w:b/>
                <w:color w:val="30A46C"/>
                <w:sz w:val="22"/>
              </w:rPr>
              <w:t>Strongly positive: Validates BKR's NovaLT turbine demand and data center order surge</w:t>
            </w:r>
          </w:p>
        </w:tc>
      </w:tr>
      <w:tr>
        <w:tc>
          <w:tcPr>
            <w:tcW w:type="dxa" w:w="2160"/>
          </w:tcPr>
          <w:p>
            <w:r>
              <w:rPr>
                <w:rFonts w:ascii="Calibri" w:hAnsi="Calibri"/>
                <w:sz w:val="22"/>
              </w:rPr>
              <w:t>LNG / Gas Infrastructure</w:t>
            </w:r>
          </w:p>
        </w:tc>
        <w:tc>
          <w:tcPr>
            <w:tcW w:type="dxa" w:w="2160"/>
          </w:tcPr>
          <w:p>
            <w:r>
              <w:rPr>
                <w:rFonts w:ascii="Calibri" w:hAnsi="Calibri"/>
                <w:sz w:val="22"/>
              </w:rPr>
              <w:t>East Asia gas development a driver; FIDs supportive</w:t>
            </w:r>
          </w:p>
        </w:tc>
        <w:tc>
          <w:tcPr>
            <w:tcW w:type="dxa" w:w="2160"/>
          </w:tcPr>
          <w:p>
            <w:r>
              <w:rPr>
                <w:rFonts w:ascii="Calibri" w:hAnsi="Calibri"/>
                <w:sz w:val="22"/>
              </w:rPr>
              <w:t>Not specifically discussed</w:t>
            </w:r>
          </w:p>
        </w:tc>
        <w:tc>
          <w:tcPr>
            <w:tcW w:type="dxa" w:w="2160"/>
          </w:tcPr>
          <w:p>
            <w:r>
              <w:rPr>
                <w:rFonts w:ascii="Calibri" w:hAnsi="Calibri"/>
                <w:b/>
                <w:color w:val="30A46C"/>
                <w:sz w:val="22"/>
              </w:rPr>
              <w:t>Positive: Validates BKR's record LNG equipment awards (Venture Global, Cheniere, Golar)</w:t>
            </w:r>
          </w:p>
        </w:tc>
      </w:tr>
      <w:tr>
        <w:tc>
          <w:tcPr>
            <w:tcW w:type="dxa" w:w="2160"/>
          </w:tcPr>
          <w:p>
            <w:r>
              <w:rPr>
                <w:rFonts w:ascii="Calibri" w:hAnsi="Calibri"/>
                <w:sz w:val="22"/>
              </w:rPr>
              <w:t>OFS Pricing / Margins</w:t>
            </w:r>
          </w:p>
        </w:tc>
        <w:tc>
          <w:tcPr>
            <w:tcW w:type="dxa" w:w="2160"/>
          </w:tcPr>
          <w:p>
            <w:r>
              <w:rPr>
                <w:rFonts w:ascii="Calibri" w:hAnsi="Calibri"/>
                <w:sz w:val="22"/>
              </w:rPr>
              <w:t>Pricing headwind in 2026; expected to normalize in 2027+</w:t>
            </w:r>
          </w:p>
        </w:tc>
        <w:tc>
          <w:tcPr>
            <w:tcW w:type="dxa" w:w="2160"/>
          </w:tcPr>
          <w:p>
            <w:r>
              <w:rPr>
                <w:rFonts w:ascii="Calibri" w:hAnsi="Calibri"/>
                <w:sz w:val="22"/>
              </w:rPr>
              <w:t>Modest pricing gains in NA; international margins expanding</w:t>
            </w:r>
          </w:p>
        </w:tc>
        <w:tc>
          <w:tcPr>
            <w:tcW w:type="dxa" w:w="2160"/>
          </w:tcPr>
          <w:p>
            <w:r>
              <w:rPr>
                <w:rFonts w:ascii="Calibri" w:hAnsi="Calibri"/>
                <w:sz w:val="22"/>
              </w:rPr>
              <w:t>Neutral: BKR's IET backlog pricing is locked in; OFSE margin resilience (17.5%) is notable</w:t>
            </w:r>
          </w:p>
        </w:tc>
      </w:tr>
      <w:tr>
        <w:tc>
          <w:tcPr>
            <w:tcW w:type="dxa" w:w="2160"/>
          </w:tcPr>
          <w:p>
            <w:r>
              <w:rPr>
                <w:rFonts w:ascii="Calibri" w:hAnsi="Calibri"/>
                <w:sz w:val="22"/>
              </w:rPr>
              <w:t>Energy Security Theme</w:t>
            </w:r>
          </w:p>
        </w:tc>
        <w:tc>
          <w:tcPr>
            <w:tcW w:type="dxa" w:w="2160"/>
          </w:tcPr>
          <w:p>
            <w:r>
              <w:rPr>
                <w:rFonts w:ascii="Calibri" w:hAnsi="Calibri"/>
                <w:sz w:val="22"/>
              </w:rPr>
              <w:t>Structural multi-year driver; upcycle underway</w:t>
            </w:r>
          </w:p>
        </w:tc>
        <w:tc>
          <w:tcPr>
            <w:tcW w:type="dxa" w:w="2160"/>
          </w:tcPr>
          <w:p>
            <w:r>
              <w:rPr>
                <w:rFonts w:ascii="Calibri" w:hAnsi="Calibri"/>
                <w:sz w:val="22"/>
              </w:rPr>
              <w:t>"Years, not quarters" of investment needed</w:t>
            </w:r>
          </w:p>
        </w:tc>
        <w:tc>
          <w:tcPr>
            <w:tcW w:type="dxa" w:w="2160"/>
          </w:tcPr>
          <w:p>
            <w:r>
              <w:rPr>
                <w:rFonts w:ascii="Calibri" w:hAnsi="Calibri"/>
                <w:b/>
                <w:color w:val="30A46C"/>
                <w:sz w:val="22"/>
              </w:rPr>
              <w:t>Strongly positive: Validates BKR's Horizon 2 IET order target raise to &gt;$45B</w:t>
            </w:r>
          </w:p>
        </w:tc>
      </w:tr>
      <w:tr>
        <w:tc>
          <w:tcPr>
            <w:tcW w:type="dxa" w:w="2160"/>
          </w:tcPr>
          <w:p>
            <w:r>
              <w:rPr>
                <w:rFonts w:ascii="Calibri" w:hAnsi="Calibri"/>
                <w:sz w:val="22"/>
              </w:rPr>
              <w:t>North America</w:t>
            </w:r>
          </w:p>
        </w:tc>
        <w:tc>
          <w:tcPr>
            <w:tcW w:type="dxa" w:w="2160"/>
          </w:tcPr>
          <w:p>
            <w:r>
              <w:rPr>
                <w:rFonts w:ascii="Calibri" w:hAnsi="Calibri"/>
                <w:sz w:val="22"/>
              </w:rPr>
              <w:t>Short-cycle dynamics; tied to commodity prices</w:t>
            </w:r>
          </w:p>
        </w:tc>
        <w:tc>
          <w:tcPr>
            <w:tcW w:type="dxa" w:w="2160"/>
          </w:tcPr>
          <w:p>
            <w:r>
              <w:rPr>
                <w:rFonts w:ascii="Calibri" w:hAnsi="Calibri"/>
                <w:sz w:val="22"/>
              </w:rPr>
              <w:t>Recovery underway; +7% QoQ; pricing improving</w:t>
            </w:r>
          </w:p>
        </w:tc>
        <w:tc>
          <w:tcPr>
            <w:tcW w:type="dxa" w:w="2160"/>
          </w:tcPr>
          <w:p>
            <w:r>
              <w:rPr>
                <w:rFonts w:ascii="Calibri" w:hAnsi="Calibri"/>
                <w:sz w:val="22"/>
              </w:rPr>
              <w:t>Neutral/positive: BKR NA OFSE ($933M, +1% QoQ) modest contributor; not a key driver</w:t>
            </w:r>
          </w:p>
        </w:tc>
      </w:tr>
    </w:tbl>
    <w:p>
      <w:r>
        <w:rPr>
          <w:rFonts w:ascii="Calibri" w:hAnsi="Calibri"/>
          <w:b/>
          <w:color w:val="525866"/>
          <w:sz w:val="22"/>
        </w:rPr>
        <w:t xml:space="preserve">Sources: </w:t>
      </w:r>
      <w:r>
        <w:rPr>
          <w:rFonts w:ascii="Calibri" w:hAnsi="Calibri"/>
          <w:color w:val="525866"/>
          <w:sz w:val="22"/>
        </w:rPr>
        <w:t>SLB Q2 2026 Earnings Call Transcript (July 24, 2026); HAL Q2 2026 Earnings Call Transcript (July 21, 2026). All commentary pertains to Q2 2026 results and forward-looking statements made on those calls.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