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bro-earnings-predictions--2026-07-27"/>
    <w:p>
      <w:pPr>
        <w:pStyle w:val="Heading1"/>
      </w:pPr>
      <w:r>
        <w:t xml:space="preserve">BRO Earnings Predictions — 2026-07-27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BRO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Consolidated Organic Revenue Growth (ex-contingents)</w:t>
            </w:r>
          </w:p>
        </w:tc>
        <w:tc>
          <w:tcPr/>
          <w:p>
            <w:pPr>
              <w:pStyle w:val="Compact"/>
            </w:pPr>
            <w:r>
              <w:t xml:space="preserve">MISS</w:t>
            </w:r>
          </w:p>
        </w:tc>
        <w:tc>
          <w:tcPr/>
          <w:p>
            <w:pPr>
              <w:pStyle w:val="Compact"/>
            </w:pPr>
            <w:r>
              <w:t xml:space="preserve">pred ~1.5% vs. cons ~2.6%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BRO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Diluted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</w:t>
            </w:r>
            <m:oMath>
              <m:r>
                <m:t>1.11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1.09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BRO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Total Revenue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</w:t>
            </w:r>
            <m:oMath>
              <m:r>
                <m:t>1.73</m:t>
              </m:r>
              <m:r>
                <m:t>B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1.72B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BRO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Organic Revenue Growth outlook/commentary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~3.0% vs. cons ~4.0%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BRO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Adjusted EBITDAC Margin Expansion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~+20bps vs. cons ~+40bps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BRO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Accession/Risk Strategies EBITDA Synergy Target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35</m:t>
              </m:r>
              <m:r>
                <m:t>M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35M (FY2026, midpoint of $30-40M range reaffirmed)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BRO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Howden litigation annualized lost revenue trajectory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guide/actual ~</w:t>
            </w:r>
            <m:oMath>
              <m:r>
                <m:t>36</m:t>
              </m:r>
              <m:r>
                <m:t>M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p</m:t>
              </m:r>
              <m:r>
                <m:t>r</m:t>
              </m:r>
              <m:r>
                <m:t>i</m:t>
              </m:r>
              <m:r>
                <m:t>o</m:t>
              </m:r>
              <m:r>
                <m:t>r</m:t>
              </m:r>
              <m:r>
                <m:rPr>
                  <m:sty m:val="p"/>
                </m:rPr>
                <m:t>−</m:t>
              </m:r>
              <m:r>
                <m:t>q</m:t>
              </m:r>
              <m:r>
                <m:t>u</m:t>
              </m:r>
              <m:r>
                <m:t>a</m:t>
              </m:r>
              <m:r>
                <m:t>r</m:t>
              </m:r>
              <m:r>
                <m:t>t</m:t>
              </m:r>
              <m:r>
                <m:t>e</m:t>
              </m:r>
              <m:r>
                <m:t>r</m:t>
              </m:r>
              <m:r>
                <m:t> </m:t>
              </m:r>
            </m:oMath>
            <w:r>
              <w:t xml:space="preserve">31M (Q2 2026 cumulative, deceleration not yet evident)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BRO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-4.0%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BRO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-6.5% (FOLLOW-THROUGH)</w:t>
            </w:r>
          </w:p>
        </w:tc>
        <w:tc>
          <w:tcPr/>
          <w:p>
            <w:pPr>
              <w:pStyle w:val="Compact"/>
            </w:pPr>
            <w:r>
              <w:t xml:space="preserve">Peer read-throughs (MMC/Guy Carpenter Q2 results showing global property cat rate declines accelerating to -16% at midyear from -12% in Q1, with Guy Carpenter posting negative organic growth) confirm the CAT-property pricing headwind BRO flagged is intensifying rather than stabilizing, undercutting management's promised sequential organic-growth improvement into Q2/H2. Even with a modest EPS beat driven by contingents and buybacks, the out-period math means FY26 organic growth and margin-expansion estimates get trimmed post-call as analysts push the 'inflection' further into H2 and haircut confidence in the '180' casualty-book and Accession-synergy offsets, while continued Howden litigation bleed and elevated leverage keep the credibility question (raised by Morgan Stanley's downgrade) alive - producing a grinding downward drift over the week rather than a snap-back.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2026-07-27T00:17:55Z</dcterms:created>
  <dcterms:modified xsi:type="dcterms:W3CDTF">2026-07-27T00:17:55Z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