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8ba888d0f675ee718c004b0178cefdd836e1c3"/>
    <w:p>
      <w:pPr>
        <w:pStyle w:val="Heading1"/>
      </w:pPr>
      <w:r>
        <w:t xml:space="preserve">Brown &amp; Brown (BRO) 2026 Q2 Earnings Preview</w:t>
      </w:r>
    </w:p>
    <w:p>
      <w:pPr>
        <w:pStyle w:val="BlockText"/>
      </w:pPr>
      <w:r>
        <w:rPr>
          <w:b/>
          <w:bCs/>
        </w:rPr>
        <w:t xml:space="preserve">Timing clarification:</w:t>
      </w:r>
      <w:r>
        <w:t xml:space="preserve"> </w:t>
      </w:r>
      <w:r>
        <w:t xml:space="preserve">Brown &amp; Brown is scheduled to release earnings</w:t>
      </w:r>
      <w:r>
        <w:t xml:space="preserve"> </w:t>
      </w:r>
      <w:r>
        <w:rPr>
          <w:b/>
          <w:bCs/>
        </w:rPr>
        <w:t xml:space="preserve">after the market closes today, Monday, July 27, 2026</w:t>
      </w:r>
      <w:r>
        <w:t xml:space="preserve">. Management’s earnings call is</w:t>
      </w:r>
      <w:r>
        <w:t xml:space="preserve"> </w:t>
      </w:r>
      <w:r>
        <w:rPr>
          <w:b/>
          <w:bCs/>
        </w:rPr>
        <w:t xml:space="preserve">tomorrow, Tuesday, July 28, at 8:00 a.m. EDT</w:t>
      </w:r>
      <w:r>
        <w:t xml:space="preserve">.</w:t>
      </w:r>
    </w:p>
    <w:bookmarkStart w:id="9" w:name="investment-setup"/>
    <w:p>
      <w:pPr>
        <w:pStyle w:val="Heading2"/>
      </w:pPr>
      <w:r>
        <w:t xml:space="preserve">Investment setup</w:t>
      </w:r>
    </w:p>
    <w:p>
      <w:pPr>
        <w:pStyle w:val="FirstParagraph"/>
      </w:pPr>
      <w:r>
        <w:t xml:space="preserve">Brown &amp; Brown enters Q2 with a fairly clear debate:</w:t>
      </w:r>
    </w:p>
    <w:p>
      <w:pPr>
        <w:pStyle w:val="Compact"/>
        <w:numPr>
          <w:ilvl w:val="0"/>
          <w:numId w:val="1001"/>
        </w:numPr>
      </w:pPr>
      <w:r>
        <w:rPr>
          <w:b/>
          <w:bCs/>
        </w:rPr>
        <w:t xml:space="preserve">Reported growth should be very strong</w:t>
      </w:r>
      <w:r>
        <w:t xml:space="preserve"> </w:t>
      </w:r>
      <w:r>
        <w:t xml:space="preserve">because Accession was not included in the prior-year quarter.</w:t>
      </w:r>
    </w:p>
    <w:p>
      <w:pPr>
        <w:pStyle w:val="Compact"/>
        <w:numPr>
          <w:ilvl w:val="0"/>
          <w:numId w:val="1001"/>
        </w:numPr>
      </w:pPr>
      <w:r>
        <w:rPr>
          <w:b/>
          <w:bCs/>
        </w:rPr>
        <w:t xml:space="preserve">Underlying growth remains the concern</w:t>
      </w:r>
      <w:r>
        <w:t xml:space="preserve">, particularly given sharp declines in catastrophe-property pricing.</w:t>
      </w:r>
    </w:p>
    <w:p>
      <w:pPr>
        <w:pStyle w:val="Compact"/>
        <w:numPr>
          <w:ilvl w:val="0"/>
          <w:numId w:val="1001"/>
        </w:numPr>
      </w:pPr>
      <w:r>
        <w:rPr>
          <w:b/>
          <w:bCs/>
        </w:rPr>
        <w:t xml:space="preserve">Margins, contingent commissions and cash generation</w:t>
      </w:r>
      <w:r>
        <w:t xml:space="preserve"> </w:t>
      </w:r>
      <w:r>
        <w:t xml:space="preserve">could again prove more resilient than headline organic revenue.</w:t>
      </w:r>
    </w:p>
    <w:p>
      <w:pPr>
        <w:pStyle w:val="Compact"/>
        <w:numPr>
          <w:ilvl w:val="0"/>
          <w:numId w:val="1001"/>
        </w:numPr>
      </w:pPr>
      <w:r>
        <w:t xml:space="preserve">Investors will want evidence that the Accession integration and the reworked Retail sales model can produce better organic growth in the second half.</w:t>
      </w:r>
    </w:p>
    <w:p>
      <w:pPr>
        <w:pStyle w:val="FirstParagraph"/>
      </w:pPr>
      <w:r>
        <w:t xml:space="preserve">The stock closed at</w:t>
      </w:r>
      <w:r>
        <w:t xml:space="preserve"> </w:t>
      </w:r>
      <w:r>
        <w:rPr>
          <w:b/>
          <w:bCs/>
        </w:rPr>
        <w:t xml:space="preserve">$67.68 on July 24</w:t>
      </w:r>
      <w:r>
        <w:t xml:space="preserve">, up about 7% from its post-Q1 close but trailing the gains of several large brokerage peers over the same period. That suggests expectations are not especially demanding, but the market will still require credible signs that organic growth has bottomed.</w:t>
      </w:r>
    </w:p>
    <w:bookmarkEnd w:id="9"/>
    <w:bookmarkStart w:id="10" w:name="q1-baseline"/>
    <w:p>
      <w:pPr>
        <w:pStyle w:val="Heading2"/>
      </w:pPr>
      <w:r>
        <w:t xml:space="preserve">Q1 baseline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2026 Q1 result</w:t>
            </w:r>
          </w:p>
        </w:tc>
      </w:tr>
      <w:tr>
        <w:tc>
          <w:tcPr/>
          <w:p>
            <w:pPr>
              <w:pStyle w:val="Compact"/>
            </w:pPr>
            <w:r>
              <w:t xml:space="preserve">Revenue</w:t>
            </w:r>
          </w:p>
        </w:tc>
        <w:tc>
          <w:tcPr/>
          <w:p>
            <w:pPr>
              <w:pStyle w:val="Compact"/>
              <w:jc w:val="right"/>
            </w:pPr>
            <w:r>
              <w:t xml:space="preserve">$1.90 billion</w:t>
            </w:r>
          </w:p>
        </w:tc>
      </w:tr>
      <w:tr>
        <w:tc>
          <w:tcPr/>
          <w:p>
            <w:pPr>
              <w:pStyle w:val="Compact"/>
            </w:pPr>
            <w:r>
              <w:t xml:space="preserve">Reported revenue growth</w:t>
            </w:r>
          </w:p>
        </w:tc>
        <w:tc>
          <w:tcPr/>
          <w:p>
            <w:pPr>
              <w:pStyle w:val="Compact"/>
              <w:jc w:val="right"/>
            </w:pPr>
            <w:r>
              <w:t xml:space="preserve">35.4%</w:t>
            </w:r>
          </w:p>
        </w:tc>
      </w:tr>
      <w:tr>
        <w:tc>
          <w:tcPr/>
          <w:p>
            <w:pPr>
              <w:pStyle w:val="Compact"/>
            </w:pPr>
            <w:r>
              <w:t xml:space="preserve">Organic revenue growth, ex-contingents</w:t>
            </w:r>
          </w:p>
        </w:tc>
        <w:tc>
          <w:tcPr/>
          <w:p>
            <w:pPr>
              <w:pStyle w:val="Compact"/>
              <w:jc w:val="right"/>
            </w:pPr>
            <w:r>
              <w:t xml:space="preserve">0.0%</w:t>
            </w:r>
          </w:p>
        </w:tc>
      </w:tr>
      <w:tr>
        <w:tc>
          <w:tcPr/>
          <w:p>
            <w:pPr>
              <w:pStyle w:val="Compact"/>
            </w:pPr>
            <w:r>
              <w:t xml:space="preserve">Organic growth, including contingents</w:t>
            </w:r>
          </w:p>
        </w:tc>
        <w:tc>
          <w:tcPr/>
          <w:p>
            <w:pPr>
              <w:pStyle w:val="Compact"/>
              <w:jc w:val="right"/>
            </w:pPr>
            <w:r>
              <w:t xml:space="preserve">2.2%</w:t>
            </w:r>
          </w:p>
        </w:tc>
      </w:tr>
      <w:tr>
        <w:tc>
          <w:tcPr/>
          <w:p>
            <w:pPr>
              <w:pStyle w:val="Compact"/>
            </w:pPr>
            <w:r>
              <w:t xml:space="preserve">Adjusted EBITDAC margin</w:t>
            </w:r>
          </w:p>
        </w:tc>
        <w:tc>
          <w:tcPr/>
          <w:p>
            <w:pPr>
              <w:pStyle w:val="Compact"/>
              <w:jc w:val="right"/>
            </w:pPr>
            <w:r>
              <w:t xml:space="preserve">38.5%</w:t>
            </w:r>
          </w:p>
        </w:tc>
      </w:tr>
      <w:tr>
        <w:tc>
          <w:tcPr/>
          <w:p>
            <w:pPr>
              <w:pStyle w:val="Compact"/>
            </w:pPr>
            <w:r>
              <w:t xml:space="preserve">Adjusted EPS</w:t>
            </w:r>
          </w:p>
        </w:tc>
        <w:tc>
          <w:tcPr/>
          <w:p>
            <w:pPr>
              <w:pStyle w:val="Compact"/>
              <w:jc w:val="right"/>
            </w:pPr>
            <w:r>
              <w:t xml:space="preserve">$1.39</w:t>
            </w:r>
          </w:p>
        </w:tc>
      </w:tr>
      <w:tr>
        <w:tc>
          <w:tcPr/>
          <w:p>
            <w:pPr>
              <w:pStyle w:val="Compact"/>
            </w:pPr>
            <w:r>
              <w:t xml:space="preserve">Adjusted EPS growth</w:t>
            </w:r>
          </w:p>
        </w:tc>
        <w:tc>
          <w:tcPr/>
          <w:p>
            <w:pPr>
              <w:pStyle w:val="Compact"/>
              <w:jc w:val="right"/>
            </w:pPr>
            <w:r>
              <w:t xml:space="preserve">7.8%</w:t>
            </w:r>
          </w:p>
        </w:tc>
      </w:tr>
      <w:tr>
        <w:tc>
          <w:tcPr/>
          <w:p>
            <w:pPr>
              <w:pStyle w:val="Compact"/>
            </w:pPr>
            <w:r>
              <w:t xml:space="preserve">Operating cash flow</w:t>
            </w:r>
          </w:p>
        </w:tc>
        <w:tc>
          <w:tcPr/>
          <w:p>
            <w:pPr>
              <w:pStyle w:val="Compact"/>
              <w:jc w:val="right"/>
            </w:pPr>
            <w:r>
              <w:t xml:space="preserve">$262 million</w:t>
            </w:r>
          </w:p>
        </w:tc>
      </w:tr>
    </w:tbl>
    <w:p>
      <w:pPr>
        <w:pStyle w:val="BodyText"/>
      </w:pPr>
      <w:r>
        <w:t xml:space="preserve">Reported growth was driven primarily by Accession, which contributed approximately</w:t>
      </w:r>
      <w:r>
        <w:t xml:space="preserve"> </w:t>
      </w:r>
      <w:r>
        <w:rPr>
          <w:b/>
          <w:bCs/>
        </w:rPr>
        <w:t xml:space="preserve">$445 million of Q1 revenue</w:t>
      </w:r>
      <w:r>
        <w:t xml:space="preserve">. The underlying business was held back by catastrophe-property pricing, prior-year flood claims revenue, changes in a pharmacy consulting revenue model and disruption related to employee departures.</w:t>
      </w:r>
    </w:p>
    <w:bookmarkEnd w:id="10"/>
    <w:bookmarkStart w:id="14" w:name="what-matters-most-in-q2"/>
    <w:p>
      <w:pPr>
        <w:pStyle w:val="Heading2"/>
      </w:pPr>
      <w:r>
        <w:t xml:space="preserve">What matters most in Q2</w:t>
      </w:r>
    </w:p>
    <w:bookmarkStart w:id="11" w:name="X5b965fbb97d291757d1420ea0e3997c71a6a565"/>
    <w:p>
      <w:pPr>
        <w:pStyle w:val="Heading3"/>
      </w:pPr>
      <w:r>
        <w:t xml:space="preserve">1. Has organic growth begun to improve?</w:t>
      </w:r>
    </w:p>
    <w:p>
      <w:pPr>
        <w:pStyle w:val="FirstParagraph"/>
      </w:pPr>
      <w:r>
        <w:t xml:space="preserve">This is the central issue.</w:t>
      </w:r>
    </w:p>
    <w:p>
      <w:pPr>
        <w:pStyle w:val="BodyText"/>
      </w:pPr>
      <w:r>
        <w:t xml:space="preserve">Management said after Q1 that it expected</w:t>
      </w:r>
      <w:r>
        <w:t xml:space="preserve"> </w:t>
      </w:r>
      <w:r>
        <w:rPr>
          <w:b/>
          <w:bCs/>
        </w:rPr>
        <w:t xml:space="preserve">modest sequential organic improvement in every quarter of 2026</w:t>
      </w:r>
      <w:r>
        <w:t xml:space="preserve">. That sets a relatively low but important hurdle: consolidated organic growth excluding contingents should move above Q1’s flat result.</w:t>
      </w:r>
    </w:p>
    <w:p>
      <w:pPr>
        <w:pStyle w:val="BodyText"/>
      </w:pPr>
      <w:r>
        <w:t xml:space="preserve">The segment expectations are more informative:</w:t>
      </w:r>
    </w:p>
    <w:p>
      <w:pPr>
        <w:pStyle w:val="Compact"/>
        <w:numPr>
          <w:ilvl w:val="0"/>
          <w:numId w:val="1002"/>
        </w:numPr>
      </w:pPr>
      <w:r>
        <w:rPr>
          <w:b/>
          <w:bCs/>
        </w:rPr>
        <w:t xml:space="preserve">Retail:</w:t>
      </w:r>
      <w:r>
        <w:t xml:space="preserve"> </w:t>
      </w:r>
      <w:r>
        <w:t xml:space="preserve">Should improve from Q1’s 1.0% organic growth.</w:t>
      </w:r>
    </w:p>
    <w:p>
      <w:pPr>
        <w:pStyle w:val="Compact"/>
        <w:numPr>
          <w:ilvl w:val="0"/>
          <w:numId w:val="1002"/>
        </w:numPr>
      </w:pPr>
      <w:r>
        <w:rPr>
          <w:b/>
          <w:bCs/>
        </w:rPr>
        <w:t xml:space="preserve">Specialty Distribution:</w:t>
      </w:r>
      <w:r>
        <w:t xml:space="preserve"> </w:t>
      </w:r>
      <w:r>
        <w:t xml:space="preserve">Management expected approximately flat Q2 organic growth excluding contingents because Q2 is heavily weighted toward catastrophe-property placements.</w:t>
      </w:r>
    </w:p>
    <w:p>
      <w:pPr>
        <w:pStyle w:val="Compact"/>
        <w:numPr>
          <w:ilvl w:val="0"/>
          <w:numId w:val="1002"/>
        </w:numPr>
      </w:pPr>
      <w:r>
        <w:rPr>
          <w:b/>
          <w:bCs/>
        </w:rPr>
        <w:t xml:space="preserve">Consolidated:</w:t>
      </w:r>
      <w:r>
        <w:t xml:space="preserve"> </w:t>
      </w:r>
      <w:r>
        <w:t xml:space="preserve">Positive growth would be directionally reassuring; another flat or negative result would raise questions about the anticipated second-half acceleration.</w:t>
      </w:r>
    </w:p>
    <w:p>
      <w:pPr>
        <w:pStyle w:val="FirstParagraph"/>
      </w:pPr>
      <w:r>
        <w:t xml:space="preserve">A result modestly above zero may satisfy the literal guidance, but investors will want to see underlying indicators—new business, retention and exposure growth—that support more meaningful improvement later in the year.</w:t>
      </w:r>
    </w:p>
    <w:bookmarkEnd w:id="11"/>
    <w:bookmarkStart w:id="12" w:name="X588738f5f277e8e52c405ee29ee17ede701ff5e"/>
    <w:p>
      <w:pPr>
        <w:pStyle w:val="Heading3"/>
      </w:pPr>
      <w:r>
        <w:t xml:space="preserve">2. Catastrophe-property pricing is likely the largest headwind</w:t>
      </w:r>
    </w:p>
    <w:p>
      <w:pPr>
        <w:pStyle w:val="FirstParagraph"/>
      </w:pPr>
      <w:r>
        <w:t xml:space="preserve">BRO’s Specialty Distribution business has meaningful catastrophe-property exposure, making it more sensitive than some peers to falling property rates.</w:t>
      </w:r>
    </w:p>
    <w:p>
      <w:pPr>
        <w:pStyle w:val="BodyText"/>
      </w:pPr>
      <w:r>
        <w:t xml:space="preserve">In Q1, management reported:</w:t>
      </w:r>
    </w:p>
    <w:p>
      <w:pPr>
        <w:pStyle w:val="Compact"/>
        <w:numPr>
          <w:ilvl w:val="0"/>
          <w:numId w:val="1003"/>
        </w:numPr>
      </w:pPr>
      <w:r>
        <w:t xml:space="preserve">E&amp;S property pricing generally down</w:t>
      </w:r>
      <w:r>
        <w:t xml:space="preserve"> </w:t>
      </w:r>
      <w:r>
        <w:rPr>
          <w:b/>
          <w:bCs/>
        </w:rPr>
        <w:t xml:space="preserve">15%–35%</w:t>
      </w:r>
      <w:r>
        <w:t xml:space="preserve">.</w:t>
      </w:r>
    </w:p>
    <w:p>
      <w:pPr>
        <w:pStyle w:val="Compact"/>
        <w:numPr>
          <w:ilvl w:val="0"/>
          <w:numId w:val="1003"/>
        </w:numPr>
      </w:pPr>
      <w:r>
        <w:t xml:space="preserve">Further pressure late in the quarter.</w:t>
      </w:r>
    </w:p>
    <w:p>
      <w:pPr>
        <w:pStyle w:val="Compact"/>
        <w:numPr>
          <w:ilvl w:val="0"/>
          <w:numId w:val="1003"/>
        </w:numPr>
      </w:pPr>
      <w:r>
        <w:t xml:space="preserve">Q2 expected to be especially challenging because of the heavy concentration of property renewals.</w:t>
      </w:r>
    </w:p>
    <w:p>
      <w:pPr>
        <w:pStyle w:val="FirstParagraph"/>
      </w:pPr>
      <w:r>
        <w:t xml:space="preserve">The industry read-through has not improved. Marsh recently reported:</w:t>
      </w:r>
    </w:p>
    <w:p>
      <w:pPr>
        <w:pStyle w:val="Compact"/>
        <w:numPr>
          <w:ilvl w:val="0"/>
          <w:numId w:val="1004"/>
        </w:numPr>
      </w:pPr>
      <w:r>
        <w:t xml:space="preserve">Global property rates down 12% in Q2.</w:t>
      </w:r>
    </w:p>
    <w:p>
      <w:pPr>
        <w:pStyle w:val="Compact"/>
        <w:numPr>
          <w:ilvl w:val="0"/>
          <w:numId w:val="1004"/>
        </w:numPr>
      </w:pPr>
      <w:r>
        <w:t xml:space="preserve">Florida catastrophe reinsurance renewals down approximately 15%–20%.</w:t>
      </w:r>
    </w:p>
    <w:p>
      <w:pPr>
        <w:pStyle w:val="Compact"/>
        <w:numPr>
          <w:ilvl w:val="0"/>
          <w:numId w:val="1004"/>
        </w:numPr>
      </w:pPr>
      <w:r>
        <w:t xml:space="preserve">Continued abundant capacity and aggressive competition.</w:t>
      </w:r>
    </w:p>
    <w:p>
      <w:pPr>
        <w:pStyle w:val="FirstParagraph"/>
      </w:pPr>
      <w:r>
        <w:t xml:space="preserve">That backdrop makes management’s prior expectation of roughly flat Specialty Distribution organic growth a meaningful test. A result near flat would imply that policy growth, new business and non-property lines are largely offsetting substantial rate pressure. A materially negative figure would suggest the pricing drag is overwhelming those offsets.</w:t>
      </w:r>
    </w:p>
    <w:p>
      <w:pPr>
        <w:pStyle w:val="BodyText"/>
      </w:pPr>
      <w:r>
        <w:t xml:space="preserve">Investors should also listen for whether management believes June renewals marked a trough. At the Q1 call, it had not yet seen evidence that the decline was stabilizing.</w:t>
      </w:r>
    </w:p>
    <w:bookmarkEnd w:id="12"/>
    <w:bookmarkStart w:id="13" w:name="X3ad86b71d2ed33a22c15221918805da1c5894bb"/>
    <w:p>
      <w:pPr>
        <w:pStyle w:val="Heading3"/>
      </w:pPr>
      <w:r>
        <w:t xml:space="preserve">3. Contingent commissions may again cushion the soft market</w:t>
      </w:r>
    </w:p>
    <w:p>
      <w:pPr>
        <w:pStyle w:val="FirstParagraph"/>
      </w:pPr>
      <w:r>
        <w:t xml:space="preserve">Contingent commissions are unusually important to the BRO story.</w:t>
      </w:r>
    </w:p>
    <w:p>
      <w:pPr>
        <w:pStyle w:val="BodyText"/>
      </w:pPr>
      <w:r>
        <w:t xml:space="preserve">In Q1:</w:t>
      </w:r>
    </w:p>
    <w:p>
      <w:pPr>
        <w:pStyle w:val="Compact"/>
        <w:numPr>
          <w:ilvl w:val="0"/>
          <w:numId w:val="1005"/>
        </w:numPr>
      </w:pPr>
      <w:r>
        <w:t xml:space="preserve">Total contingent commissions increased by $54 million.</w:t>
      </w:r>
    </w:p>
    <w:p>
      <w:pPr>
        <w:pStyle w:val="Compact"/>
        <w:numPr>
          <w:ilvl w:val="0"/>
          <w:numId w:val="1005"/>
        </w:numPr>
      </w:pPr>
      <w:r>
        <w:t xml:space="preserve">Organic contingents helped lift consolidated growth from 0.0% excluding contingents to 2.2% including them.</w:t>
      </w:r>
    </w:p>
    <w:p>
      <w:pPr>
        <w:pStyle w:val="Compact"/>
        <w:numPr>
          <w:ilvl w:val="0"/>
          <w:numId w:val="1005"/>
        </w:numPr>
      </w:pPr>
      <w:r>
        <w:t xml:space="preserve">Specialty Distribution organic growth moved from negative 2.0% excluding contingents to positive 3.9% including them.</w:t>
      </w:r>
    </w:p>
    <w:p>
      <w:pPr>
        <w:pStyle w:val="FirstParagraph"/>
      </w:pPr>
      <w:r>
        <w:t xml:space="preserve">Management argues that this is structurally linked to its business model: lower property rates often follow favorable insurer underwriting results, which can generate higher profit-based contingent commissions.</w:t>
      </w:r>
    </w:p>
    <w:p>
      <w:pPr>
        <w:pStyle w:val="BodyText"/>
      </w:pPr>
      <w:r>
        <w:t xml:space="preserve">The company now expects</w:t>
      </w:r>
      <w:r>
        <w:t xml:space="preserve"> </w:t>
      </w:r>
      <w:r>
        <w:rPr>
          <w:b/>
          <w:bCs/>
        </w:rPr>
        <w:t xml:space="preserve">total contingents to increase in 2026</w:t>
      </w:r>
      <w:r>
        <w:t xml:space="preserve">, reversing its earlier expectation that Specialty Distribution contingents would decline by approximately $15 million.</w:t>
      </w:r>
    </w:p>
    <w:p>
      <w:pPr>
        <w:pStyle w:val="BodyText"/>
      </w:pPr>
      <w:r>
        <w:t xml:space="preserve">However, Q1 included:</w:t>
      </w:r>
    </w:p>
    <w:p>
      <w:pPr>
        <w:pStyle w:val="Compact"/>
        <w:numPr>
          <w:ilvl w:val="0"/>
          <w:numId w:val="1006"/>
        </w:numPr>
      </w:pPr>
      <w:r>
        <w:t xml:space="preserve">Approximately $5 million of prior-year true-ups.</w:t>
      </w:r>
    </w:p>
    <w:p>
      <w:pPr>
        <w:pStyle w:val="Compact"/>
        <w:numPr>
          <w:ilvl w:val="0"/>
          <w:numId w:val="1006"/>
        </w:numPr>
      </w:pPr>
      <w:r>
        <w:t xml:space="preserve">Approximately $10 million recorded in Q1 that otherwise would have been recognized in late 2025.</w:t>
      </w:r>
    </w:p>
    <w:p>
      <w:pPr>
        <w:pStyle w:val="FirstParagraph"/>
      </w:pPr>
      <w:r>
        <w:t xml:space="preserve">Therefore, another large year-over-year increase would be positive, but investors should distinguish recurring underwriting profitability from timing benefits and true-ups.</w:t>
      </w:r>
    </w:p>
    <w:bookmarkEnd w:id="13"/>
    <w:bookmarkEnd w:id="14"/>
    <w:bookmarkStart w:id="15" w:name="X89f18cf9966670e331ad9493d17b43e7e130753"/>
    <w:p>
      <w:pPr>
        <w:pStyle w:val="Heading2"/>
      </w:pPr>
      <w:r>
        <w:t xml:space="preserve">Accession: reported growth is easy; integration quality matters</w:t>
      </w:r>
    </w:p>
    <w:p>
      <w:pPr>
        <w:pStyle w:val="FirstParagraph"/>
      </w:pPr>
      <w:r>
        <w:t xml:space="preserve">Q2 2025 revenue was $1.285 billion and did not include Accession operating results. With Accession now fully consolidated, BRO should post another quarter of reported revenue growth well above 30%.</w:t>
      </w:r>
    </w:p>
    <w:p>
      <w:pPr>
        <w:pStyle w:val="BodyText"/>
      </w:pPr>
      <w:r>
        <w:t xml:space="preserve">That growth rate will not be the key investment signal. More important questions are:</w:t>
      </w:r>
    </w:p>
    <w:p>
      <w:pPr>
        <w:pStyle w:val="Compact"/>
        <w:numPr>
          <w:ilvl w:val="0"/>
          <w:numId w:val="1007"/>
        </w:numPr>
      </w:pPr>
      <w:r>
        <w:t xml:space="preserve">Is Accession performing in line with the company’s annual expectations?</w:t>
      </w:r>
    </w:p>
    <w:p>
      <w:pPr>
        <w:pStyle w:val="Compact"/>
        <w:numPr>
          <w:ilvl w:val="0"/>
          <w:numId w:val="1007"/>
        </w:numPr>
      </w:pPr>
      <w:r>
        <w:t xml:space="preserve">Is its adjusted EBITDAC margin progressing toward the approximately 35% full-year target?</w:t>
      </w:r>
    </w:p>
    <w:p>
      <w:pPr>
        <w:pStyle w:val="Compact"/>
        <w:numPr>
          <w:ilvl w:val="0"/>
          <w:numId w:val="1007"/>
        </w:numPr>
      </w:pPr>
      <w:r>
        <w:t xml:space="preserve">Is BRO on track for</w:t>
      </w:r>
      <w:r>
        <w:t xml:space="preserve"> </w:t>
      </w:r>
      <m:oMath>
        <m:r>
          <m:t>30</m:t>
        </m:r>
        <m:r>
          <m:t>m</m:t>
        </m:r>
        <m:r>
          <m:t>i</m:t>
        </m:r>
        <m:r>
          <m:t>l</m:t>
        </m:r>
        <m:r>
          <m:t>l</m:t>
        </m:r>
        <m:r>
          <m:t>i</m:t>
        </m:r>
        <m:r>
          <m:t>o</m:t>
        </m:r>
        <m:r>
          <m:t>n</m:t>
        </m:r>
        <m:r>
          <m:rPr>
            <m:sty m:val="p"/>
          </m:rPr>
          <m:t>–</m:t>
        </m:r>
      </m:oMath>
      <w:r>
        <w:rPr>
          <w:b/>
          <w:bCs/>
        </w:rPr>
        <w:t xml:space="preserve">40 million of 2026 EBITDA synergies</w:t>
      </w:r>
      <w:r>
        <w:t xml:space="preserve">?</w:t>
      </w:r>
    </w:p>
    <w:p>
      <w:pPr>
        <w:pStyle w:val="Compact"/>
        <w:numPr>
          <w:ilvl w:val="0"/>
          <w:numId w:val="1007"/>
        </w:numPr>
      </w:pPr>
      <w:r>
        <w:t xml:space="preserve">Are producer collaboration and cross-selling beginning to improve new-business activity?</w:t>
      </w:r>
    </w:p>
    <w:p>
      <w:pPr>
        <w:pStyle w:val="Compact"/>
        <w:numPr>
          <w:ilvl w:val="0"/>
          <w:numId w:val="1007"/>
        </w:numPr>
      </w:pPr>
      <w:r>
        <w:t xml:space="preserve">Are integration costs or employee turnover running above plan?</w:t>
      </w:r>
    </w:p>
    <w:p>
      <w:pPr>
        <w:pStyle w:val="FirstParagraph"/>
      </w:pPr>
      <w:r>
        <w:t xml:space="preserve">Management previously said Accession’s revenue and profit are roughly balanced between the first and second halves, with the third quarter carrying more weight than the fourth. Q2 therefore may not be the strongest Accession quarter, but there should be no material deterioration in the full-year outlook.</w:t>
      </w:r>
    </w:p>
    <w:p>
      <w:pPr>
        <w:pStyle w:val="BodyText"/>
      </w:pPr>
      <w:r>
        <w:t xml:space="preserve">Accession’s 180 Intermediaries operations should begin entering organic calculations in the second half. Because 180 has more casualty exposure and relatively little catastrophe property, management expects it to improve Specialty Distribution’s growth profile. Commentary on that transition could matter more than Q2’s acquired revenue contribution.</w:t>
      </w:r>
    </w:p>
    <w:bookmarkEnd w:id="15"/>
    <w:bookmarkStart w:id="19" w:name="X7687cb9d639dc28a3a4d0f3696a9cbd43b1feef"/>
    <w:p>
      <w:pPr>
        <w:pStyle w:val="Heading2"/>
      </w:pPr>
      <w:r>
        <w:t xml:space="preserve">Retail: three separate headwinds to unpack</w:t>
      </w:r>
    </w:p>
    <w:bookmarkStart w:id="16" w:name="pharmacy-consulting-revenue-model-change"/>
    <w:p>
      <w:pPr>
        <w:pStyle w:val="Heading3"/>
      </w:pPr>
      <w:r>
        <w:t xml:space="preserve">Pharmacy consulting revenue-model change</w:t>
      </w:r>
    </w:p>
    <w:p>
      <w:pPr>
        <w:pStyle w:val="FirstParagraph"/>
      </w:pPr>
      <w:r>
        <w:t xml:space="preserve">One pharmacy consulting operation is shifting from a volume-based arrangement to a per-employee-per-month model. Management expects this to reduce Retail organic growth by</w:t>
      </w:r>
      <w:r>
        <w:t xml:space="preserve"> </w:t>
      </w:r>
      <w:r>
        <w:rPr>
          <w:b/>
          <w:bCs/>
        </w:rPr>
        <w:t xml:space="preserve">50–100 basis points for several quarters</w:t>
      </w:r>
      <w:r>
        <w:t xml:space="preserve">, before growth resumes toward year-end.</w:t>
      </w:r>
    </w:p>
    <w:p>
      <w:pPr>
        <w:pStyle w:val="BodyText"/>
      </w:pPr>
      <w:r>
        <w:t xml:space="preserve">A weak Retail result will be easier to look through if this is the primary cause and the transition remains on schedule. It will be more concerning if net-new business or retention also deteriorates.</w:t>
      </w:r>
    </w:p>
    <w:bookmarkEnd w:id="16"/>
    <w:bookmarkStart w:id="17" w:name="sales-model-changes"/>
    <w:p>
      <w:pPr>
        <w:pStyle w:val="Heading3"/>
      </w:pPr>
      <w:r>
        <w:t xml:space="preserve">Sales-model changes</w:t>
      </w:r>
    </w:p>
    <w:p>
      <w:pPr>
        <w:pStyle w:val="FirstParagraph"/>
      </w:pPr>
      <w:r>
        <w:t xml:space="preserve">BRO is combining the local sales approach of legacy Brown &amp; Brown with the more regional model used by Risk Strategies. Management said producer activity was improving and expressed optimism about the second half.</w:t>
      </w:r>
    </w:p>
    <w:p>
      <w:pPr>
        <w:pStyle w:val="BodyText"/>
      </w:pPr>
      <w:r>
        <w:t xml:space="preserve">Investors should look for tangible evidence:</w:t>
      </w:r>
    </w:p>
    <w:p>
      <w:pPr>
        <w:pStyle w:val="Compact"/>
        <w:numPr>
          <w:ilvl w:val="0"/>
          <w:numId w:val="1008"/>
        </w:numPr>
      </w:pPr>
      <w:r>
        <w:t xml:space="preserve">Improved submissions or pipelines.</w:t>
      </w:r>
    </w:p>
    <w:p>
      <w:pPr>
        <w:pStyle w:val="Compact"/>
        <w:numPr>
          <w:ilvl w:val="0"/>
          <w:numId w:val="1008"/>
        </w:numPr>
      </w:pPr>
      <w:r>
        <w:t xml:space="preserve">Better cross-selling across the combined organization.</w:t>
      </w:r>
    </w:p>
    <w:p>
      <w:pPr>
        <w:pStyle w:val="Compact"/>
        <w:numPr>
          <w:ilvl w:val="0"/>
          <w:numId w:val="1008"/>
        </w:numPr>
      </w:pPr>
      <w:r>
        <w:t xml:space="preserve">Stronger producer productivity.</w:t>
      </w:r>
    </w:p>
    <w:p>
      <w:pPr>
        <w:pStyle w:val="Compact"/>
        <w:numPr>
          <w:ilvl w:val="0"/>
          <w:numId w:val="1008"/>
        </w:numPr>
      </w:pPr>
      <w:r>
        <w:t xml:space="preserve">No major retention problems during integration.</w:t>
      </w:r>
    </w:p>
    <w:bookmarkEnd w:id="17"/>
    <w:bookmarkStart w:id="18" w:name="X562d3e4fc578d8f541e15c7848c172b0bff326c"/>
    <w:p>
      <w:pPr>
        <w:pStyle w:val="Heading3"/>
      </w:pPr>
      <w:r>
        <w:t xml:space="preserve">Employee departures and litigation adjustment</w:t>
      </w:r>
    </w:p>
    <w:p>
      <w:pPr>
        <w:pStyle w:val="FirstParagraph"/>
      </w:pPr>
      <w:r>
        <w:t xml:space="preserve">At the end of Q1, customers representing approximately</w:t>
      </w:r>
      <w:r>
        <w:t xml:space="preserve"> </w:t>
      </w:r>
      <w:r>
        <w:rPr>
          <w:b/>
          <w:bCs/>
        </w:rPr>
        <w:t xml:space="preserve">$31 million of annual revenue</w:t>
      </w:r>
      <w:r>
        <w:t xml:space="preserve"> </w:t>
      </w:r>
      <w:r>
        <w:t xml:space="preserve">had moved to the competing start-up, up from $23 million previously. The Q1 revenue impact was approximately $10 million.</w:t>
      </w:r>
    </w:p>
    <w:p>
      <w:pPr>
        <w:pStyle w:val="BodyText"/>
      </w:pPr>
      <w:r>
        <w:t xml:space="preserve">BRO excludes the identified impact from its organic-growth calculation. That makes the reconciliation important:</w:t>
      </w:r>
    </w:p>
    <w:p>
      <w:pPr>
        <w:pStyle w:val="Compact"/>
        <w:numPr>
          <w:ilvl w:val="0"/>
          <w:numId w:val="1009"/>
        </w:numPr>
      </w:pPr>
      <w:r>
        <w:t xml:space="preserve">How much additional revenue was lost in Q2?</w:t>
      </w:r>
    </w:p>
    <w:p>
      <w:pPr>
        <w:pStyle w:val="Compact"/>
        <w:numPr>
          <w:ilvl w:val="0"/>
          <w:numId w:val="1009"/>
        </w:numPr>
      </w:pPr>
      <w:r>
        <w:t xml:space="preserve">Has the annualized amount increased beyond $31 million?</w:t>
      </w:r>
    </w:p>
    <w:p>
      <w:pPr>
        <w:pStyle w:val="Compact"/>
        <w:numPr>
          <w:ilvl w:val="0"/>
          <w:numId w:val="1009"/>
        </w:numPr>
      </w:pPr>
      <w:r>
        <w:t xml:space="preserve">How much replacement hiring has occurred?</w:t>
      </w:r>
    </w:p>
    <w:p>
      <w:pPr>
        <w:pStyle w:val="Compact"/>
        <w:numPr>
          <w:ilvl w:val="0"/>
          <w:numId w:val="1009"/>
        </w:numPr>
      </w:pPr>
      <w:r>
        <w:t xml:space="preserve">Is there a meaningful margin benefit from temporarily lower compensation?</w:t>
      </w:r>
    </w:p>
    <w:p>
      <w:pPr>
        <w:pStyle w:val="Compact"/>
        <w:numPr>
          <w:ilvl w:val="0"/>
          <w:numId w:val="1009"/>
        </w:numPr>
      </w:pPr>
      <w:r>
        <w:t xml:space="preserve">Are customer losses stabilizing?</w:t>
      </w:r>
    </w:p>
    <w:p>
      <w:pPr>
        <w:pStyle w:val="FirstParagraph"/>
      </w:pPr>
      <w:r>
        <w:t xml:space="preserve">The cleanest outcome would be a limited increase in lost revenue, continued hiring and no change to the expected Retail growth trajectory.</w:t>
      </w:r>
    </w:p>
    <w:bookmarkEnd w:id="18"/>
    <w:bookmarkEnd w:id="19"/>
    <w:bookmarkStart w:id="20" w:name="margins-and-earnings-quality"/>
    <w:p>
      <w:pPr>
        <w:pStyle w:val="Heading2"/>
      </w:pPr>
      <w:r>
        <w:t xml:space="preserve">Margins and earnings quality</w:t>
      </w:r>
    </w:p>
    <w:p>
      <w:pPr>
        <w:pStyle w:val="FirstParagraph"/>
      </w:pPr>
      <w:r>
        <w:t xml:space="preserve">Q2 2025’s adjusted EBITDAC margin was</w:t>
      </w:r>
      <w:r>
        <w:t xml:space="preserve"> </w:t>
      </w:r>
      <w:r>
        <w:rPr>
          <w:b/>
          <w:bCs/>
        </w:rPr>
        <w:t xml:space="preserve">36.7%</w:t>
      </w:r>
      <w:r>
        <w:t xml:space="preserve">. Q1 2026 was unusually strong at 38.5%, helped by high contingent commissions and favorable seasonality in the legacy business.</w:t>
      </w:r>
    </w:p>
    <w:p>
      <w:pPr>
        <w:pStyle w:val="BodyText"/>
      </w:pPr>
      <w:r>
        <w:t xml:space="preserve">For Q2, the key question is not whether margin matches Q1. Rather, investors should evaluate whether BRO can sustain a margin in the mid-to-upper 30% range despite:</w:t>
      </w:r>
    </w:p>
    <w:p>
      <w:pPr>
        <w:pStyle w:val="Compact"/>
        <w:numPr>
          <w:ilvl w:val="0"/>
          <w:numId w:val="1010"/>
        </w:numPr>
      </w:pPr>
      <w:r>
        <w:t xml:space="preserve">Weak catastrophe-property organic growth.</w:t>
      </w:r>
    </w:p>
    <w:p>
      <w:pPr>
        <w:pStyle w:val="Compact"/>
        <w:numPr>
          <w:ilvl w:val="0"/>
          <w:numId w:val="1010"/>
        </w:numPr>
      </w:pPr>
      <w:r>
        <w:t xml:space="preserve">Accession’s lower margin relative to legacy BRO.</w:t>
      </w:r>
    </w:p>
    <w:p>
      <w:pPr>
        <w:pStyle w:val="Compact"/>
        <w:numPr>
          <w:ilvl w:val="0"/>
          <w:numId w:val="1010"/>
        </w:numPr>
      </w:pPr>
      <w:r>
        <w:t xml:space="preserve">Integration expenses.</w:t>
      </w:r>
    </w:p>
    <w:p>
      <w:pPr>
        <w:pStyle w:val="Compact"/>
        <w:numPr>
          <w:ilvl w:val="0"/>
          <w:numId w:val="1010"/>
        </w:numPr>
      </w:pPr>
      <w:r>
        <w:t xml:space="preserve">Increased technology spending.</w:t>
      </w:r>
    </w:p>
    <w:p>
      <w:pPr>
        <w:pStyle w:val="Compact"/>
        <w:numPr>
          <w:ilvl w:val="0"/>
          <w:numId w:val="1010"/>
        </w:numPr>
      </w:pPr>
      <w:r>
        <w:t xml:space="preserve">Replacement hiring.</w:t>
      </w:r>
    </w:p>
    <w:p>
      <w:pPr>
        <w:pStyle w:val="Compact"/>
        <w:numPr>
          <w:ilvl w:val="0"/>
          <w:numId w:val="1010"/>
        </w:numPr>
      </w:pPr>
      <w:r>
        <w:t xml:space="preserve">Lower interest income.</w:t>
      </w:r>
    </w:p>
    <w:p>
      <w:pPr>
        <w:pStyle w:val="Compact"/>
        <w:numPr>
          <w:ilvl w:val="0"/>
          <w:numId w:val="1010"/>
        </w:numPr>
      </w:pPr>
      <w:r>
        <w:t xml:space="preserve">Higher interest expense following the Accession financing.</w:t>
      </w:r>
    </w:p>
    <w:p>
      <w:pPr>
        <w:pStyle w:val="FirstParagraph"/>
      </w:pPr>
      <w:r>
        <w:t xml:space="preserve">Positive offsets include contingents, acquisition synergies, disciplined expense management and the temporary compensation benefit associated with employee departures.</w:t>
      </w:r>
    </w:p>
    <w:p>
      <w:pPr>
        <w:pStyle w:val="BodyText"/>
      </w:pPr>
      <w:r>
        <w:t xml:space="preserve">A roughly stable margin relative to the prior-year quarter would be a solid result. Material contraction without a corresponding acceleration in investment or growth would be disappointing.</w:t>
      </w:r>
    </w:p>
    <w:p>
      <w:pPr>
        <w:pStyle w:val="BodyText"/>
      </w:pPr>
      <w:r>
        <w:t xml:space="preserve">Adjusted EPS growth also deserves attention because the Accession transaction increased both debt and the diluted share count. Q1 adjusted EPS grew 7.8% despite approximately 52 million additional weighted-average shares. Another high-single-digit increase would indicate that operating profit growth is successfully absorbing the transaction’s financing and dilution.</w:t>
      </w:r>
    </w:p>
    <w:bookmarkEnd w:id="20"/>
    <w:bookmarkStart w:id="21" w:name="balance-sheet-and-capital-allocation"/>
    <w:p>
      <w:pPr>
        <w:pStyle w:val="Heading2"/>
      </w:pPr>
      <w:r>
        <w:t xml:space="preserve">Balance sheet and capital allocation</w:t>
      </w:r>
    </w:p>
    <w:p>
      <w:pPr>
        <w:pStyle w:val="FirstParagraph"/>
      </w:pPr>
      <w:r>
        <w:t xml:space="preserve">At March 31, BRO had:</w:t>
      </w:r>
    </w:p>
    <w:p>
      <w:pPr>
        <w:pStyle w:val="Compact"/>
        <w:numPr>
          <w:ilvl w:val="0"/>
          <w:numId w:val="1011"/>
        </w:numPr>
      </w:pPr>
      <w:r>
        <w:t xml:space="preserve">Approximately</w:t>
      </w:r>
      <w:r>
        <w:t xml:space="preserve"> </w:t>
      </w:r>
      <w:r>
        <w:rPr>
          <w:b/>
          <w:bCs/>
        </w:rPr>
        <w:t xml:space="preserve">$7.8 billion of total debt</w:t>
      </w:r>
      <w:r>
        <w:t xml:space="preserve">.</w:t>
      </w:r>
    </w:p>
    <w:p>
      <w:pPr>
        <w:pStyle w:val="Compact"/>
        <w:numPr>
          <w:ilvl w:val="0"/>
          <w:numId w:val="1011"/>
        </w:numPr>
      </w:pPr>
      <w:r>
        <w:t xml:space="preserve">Approximately $1.0 billion of cash.</w:t>
      </w:r>
    </w:p>
    <w:p>
      <w:pPr>
        <w:pStyle w:val="Compact"/>
        <w:numPr>
          <w:ilvl w:val="0"/>
          <w:numId w:val="1011"/>
        </w:numPr>
      </w:pPr>
      <w:r>
        <w:t xml:space="preserve">$262 million of quarterly operating cash flow.</w:t>
      </w:r>
    </w:p>
    <w:p>
      <w:pPr>
        <w:pStyle w:val="Compact"/>
        <w:numPr>
          <w:ilvl w:val="0"/>
          <w:numId w:val="1011"/>
        </w:numPr>
      </w:pPr>
      <w:r>
        <w:t xml:space="preserve">Roughly $475 million available under its revolving facility before expansion options.</w:t>
      </w:r>
    </w:p>
    <w:p>
      <w:pPr>
        <w:pStyle w:val="FirstParagraph"/>
      </w:pPr>
      <w:r>
        <w:t xml:space="preserve">BRO also repurchased approximately $350 million of stock over the six months preceding the Q1 call, reducing its share count by about five million shares.</w:t>
      </w:r>
    </w:p>
    <w:p>
      <w:pPr>
        <w:pStyle w:val="BodyText"/>
      </w:pPr>
      <w:r>
        <w:t xml:space="preserve">The balance sheet is not the main near-term concern, but investors should expect an update on:</w:t>
      </w:r>
    </w:p>
    <w:p>
      <w:pPr>
        <w:pStyle w:val="Compact"/>
        <w:numPr>
          <w:ilvl w:val="0"/>
          <w:numId w:val="1012"/>
        </w:numPr>
      </w:pPr>
      <w:r>
        <w:t xml:space="preserve">Debt reduction.</w:t>
      </w:r>
    </w:p>
    <w:p>
      <w:pPr>
        <w:pStyle w:val="Compact"/>
        <w:numPr>
          <w:ilvl w:val="0"/>
          <w:numId w:val="1012"/>
        </w:numPr>
      </w:pPr>
      <w:r>
        <w:t xml:space="preserve">Revolver balances.</w:t>
      </w:r>
    </w:p>
    <w:p>
      <w:pPr>
        <w:pStyle w:val="Compact"/>
        <w:numPr>
          <w:ilvl w:val="0"/>
          <w:numId w:val="1012"/>
        </w:numPr>
      </w:pPr>
      <w:r>
        <w:t xml:space="preserve">Share repurchases.</w:t>
      </w:r>
    </w:p>
    <w:p>
      <w:pPr>
        <w:pStyle w:val="Compact"/>
        <w:numPr>
          <w:ilvl w:val="0"/>
          <w:numId w:val="1012"/>
        </w:numPr>
      </w:pPr>
      <w:r>
        <w:t xml:space="preserve">Acquisition appetite.</w:t>
      </w:r>
    </w:p>
    <w:p>
      <w:pPr>
        <w:pStyle w:val="Compact"/>
        <w:numPr>
          <w:ilvl w:val="0"/>
          <w:numId w:val="1012"/>
        </w:numPr>
      </w:pPr>
      <w:r>
        <w:t xml:space="preserve">Cash conversion after integration and earn-out payments.</w:t>
      </w:r>
    </w:p>
    <w:p>
      <w:pPr>
        <w:pStyle w:val="FirstParagraph"/>
      </w:pPr>
      <w:r>
        <w:t xml:space="preserve">With the large Accession transaction complete, a visible reduction in leverage would strengthen the story. Aggressive buybacks or M&amp;A without corresponding deleveraging could receive a more mixed reaction.</w:t>
      </w:r>
    </w:p>
    <w:bookmarkEnd w:id="21"/>
    <w:bookmarkStart w:id="25" w:name="likely-market-reaction-framework"/>
    <w:p>
      <w:pPr>
        <w:pStyle w:val="Heading2"/>
      </w:pPr>
      <w:r>
        <w:t xml:space="preserve">Likely market reaction framework</w:t>
      </w:r>
    </w:p>
    <w:bookmarkStart w:id="22" w:name="bullish-outcome"/>
    <w:p>
      <w:pPr>
        <w:pStyle w:val="Heading3"/>
      </w:pPr>
      <w:r>
        <w:t xml:space="preserve">Bullish outcome</w:t>
      </w:r>
    </w:p>
    <w:p>
      <w:pPr>
        <w:pStyle w:val="Compact"/>
        <w:numPr>
          <w:ilvl w:val="0"/>
          <w:numId w:val="1013"/>
        </w:numPr>
      </w:pPr>
      <w:r>
        <w:t xml:space="preserve">Consolidated organic growth moves clearly positive.</w:t>
      </w:r>
    </w:p>
    <w:p>
      <w:pPr>
        <w:pStyle w:val="Compact"/>
        <w:numPr>
          <w:ilvl w:val="0"/>
          <w:numId w:val="1013"/>
        </w:numPr>
      </w:pPr>
      <w:r>
        <w:t xml:space="preserve">Retail improves from 1.0%.</w:t>
      </w:r>
    </w:p>
    <w:p>
      <w:pPr>
        <w:pStyle w:val="Compact"/>
        <w:numPr>
          <w:ilvl w:val="0"/>
          <w:numId w:val="1013"/>
        </w:numPr>
      </w:pPr>
      <w:r>
        <w:t xml:space="preserve">Specialty Distribution is approximately flat or better excluding contingents.</w:t>
      </w:r>
    </w:p>
    <w:p>
      <w:pPr>
        <w:pStyle w:val="Compact"/>
        <w:numPr>
          <w:ilvl w:val="0"/>
          <w:numId w:val="1013"/>
        </w:numPr>
      </w:pPr>
      <w:r>
        <w:t xml:space="preserve">Contingents remain strong without relying heavily on true-ups.</w:t>
      </w:r>
    </w:p>
    <w:p>
      <w:pPr>
        <w:pStyle w:val="Compact"/>
        <w:numPr>
          <w:ilvl w:val="0"/>
          <w:numId w:val="1013"/>
        </w:numPr>
      </w:pPr>
      <w:r>
        <w:t xml:space="preserve">Adjusted margin is stable or better year over year.</w:t>
      </w:r>
    </w:p>
    <w:p>
      <w:pPr>
        <w:pStyle w:val="Compact"/>
        <w:numPr>
          <w:ilvl w:val="0"/>
          <w:numId w:val="1013"/>
        </w:numPr>
      </w:pPr>
      <w:r>
        <w:t xml:space="preserve">Accession synergy and margin targets are reaffirmed.</w:t>
      </w:r>
    </w:p>
    <w:p>
      <w:pPr>
        <w:pStyle w:val="Compact"/>
        <w:numPr>
          <w:ilvl w:val="0"/>
          <w:numId w:val="1013"/>
        </w:numPr>
      </w:pPr>
      <w:r>
        <w:t xml:space="preserve">Lost revenue related to employee departures stabilizes.</w:t>
      </w:r>
    </w:p>
    <w:p>
      <w:pPr>
        <w:pStyle w:val="Compact"/>
        <w:numPr>
          <w:ilvl w:val="0"/>
          <w:numId w:val="1013"/>
        </w:numPr>
      </w:pPr>
      <w:r>
        <w:t xml:space="preserve">Management retains confidence in sequential organic improvement and a better second half.</w:t>
      </w:r>
    </w:p>
    <w:bookmarkEnd w:id="22"/>
    <w:bookmarkStart w:id="23" w:name="neutral-outcome"/>
    <w:p>
      <w:pPr>
        <w:pStyle w:val="Heading3"/>
      </w:pPr>
      <w:r>
        <w:t xml:space="preserve">Neutral outcome</w:t>
      </w:r>
    </w:p>
    <w:p>
      <w:pPr>
        <w:pStyle w:val="Compact"/>
        <w:numPr>
          <w:ilvl w:val="0"/>
          <w:numId w:val="1014"/>
        </w:numPr>
      </w:pPr>
      <w:r>
        <w:t xml:space="preserve">Organic growth is only slightly positive.</w:t>
      </w:r>
    </w:p>
    <w:p>
      <w:pPr>
        <w:pStyle w:val="Compact"/>
        <w:numPr>
          <w:ilvl w:val="0"/>
          <w:numId w:val="1014"/>
        </w:numPr>
      </w:pPr>
      <w:r>
        <w:t xml:space="preserve">Specialty Distribution remains under pressure but broadly matches the flat-growth expectation.</w:t>
      </w:r>
    </w:p>
    <w:p>
      <w:pPr>
        <w:pStyle w:val="Compact"/>
        <w:numPr>
          <w:ilvl w:val="0"/>
          <w:numId w:val="1014"/>
        </w:numPr>
      </w:pPr>
      <w:r>
        <w:t xml:space="preserve">Contingents and expense control preserve margins.</w:t>
      </w:r>
    </w:p>
    <w:p>
      <w:pPr>
        <w:pStyle w:val="Compact"/>
        <w:numPr>
          <w:ilvl w:val="0"/>
          <w:numId w:val="1014"/>
        </w:numPr>
      </w:pPr>
      <w:r>
        <w:t xml:space="preserve">Accession remains on plan.</w:t>
      </w:r>
    </w:p>
    <w:p>
      <w:pPr>
        <w:pStyle w:val="Compact"/>
        <w:numPr>
          <w:ilvl w:val="0"/>
          <w:numId w:val="1014"/>
        </w:numPr>
      </w:pPr>
      <w:r>
        <w:t xml:space="preserve">Management reiterates rather than raises its second-half outlook.</w:t>
      </w:r>
    </w:p>
    <w:p>
      <w:pPr>
        <w:pStyle w:val="FirstParagraph"/>
      </w:pPr>
      <w:r>
        <w:t xml:space="preserve">This would probably be viewed as evidence that the business is managing through the soft property market, but not yet producing a decisive growth reacceleration.</w:t>
      </w:r>
    </w:p>
    <w:bookmarkEnd w:id="23"/>
    <w:bookmarkStart w:id="24" w:name="bearish-outcome"/>
    <w:p>
      <w:pPr>
        <w:pStyle w:val="Heading3"/>
      </w:pPr>
      <w:r>
        <w:t xml:space="preserve">Bearish outcome</w:t>
      </w:r>
    </w:p>
    <w:p>
      <w:pPr>
        <w:pStyle w:val="Compact"/>
        <w:numPr>
          <w:ilvl w:val="0"/>
          <w:numId w:val="1015"/>
        </w:numPr>
      </w:pPr>
      <w:r>
        <w:t xml:space="preserve">Consolidated organic growth is flat or negative again.</w:t>
      </w:r>
    </w:p>
    <w:p>
      <w:pPr>
        <w:pStyle w:val="Compact"/>
        <w:numPr>
          <w:ilvl w:val="0"/>
          <w:numId w:val="1015"/>
        </w:numPr>
      </w:pPr>
      <w:r>
        <w:t xml:space="preserve">Specialty Distribution materially misses the roughly flat expectation.</w:t>
      </w:r>
    </w:p>
    <w:p>
      <w:pPr>
        <w:pStyle w:val="Compact"/>
        <w:numPr>
          <w:ilvl w:val="0"/>
          <w:numId w:val="1015"/>
        </w:numPr>
      </w:pPr>
      <w:r>
        <w:t xml:space="preserve">Retail fails to improve despite the sales-model changes.</w:t>
      </w:r>
    </w:p>
    <w:p>
      <w:pPr>
        <w:pStyle w:val="Compact"/>
        <w:numPr>
          <w:ilvl w:val="0"/>
          <w:numId w:val="1015"/>
        </w:numPr>
      </w:pPr>
      <w:r>
        <w:t xml:space="preserve">Lost customer revenue rises materially above $31 million.</w:t>
      </w:r>
    </w:p>
    <w:p>
      <w:pPr>
        <w:pStyle w:val="Compact"/>
        <w:numPr>
          <w:ilvl w:val="0"/>
          <w:numId w:val="1015"/>
        </w:numPr>
      </w:pPr>
      <w:r>
        <w:t xml:space="preserve">Margins contract even after strong contingents.</w:t>
      </w:r>
    </w:p>
    <w:p>
      <w:pPr>
        <w:pStyle w:val="Compact"/>
        <w:numPr>
          <w:ilvl w:val="0"/>
          <w:numId w:val="1015"/>
        </w:numPr>
      </w:pPr>
      <w:r>
        <w:t xml:space="preserve">Accession synergy timing slips or integration costs rise.</w:t>
      </w:r>
    </w:p>
    <w:p>
      <w:pPr>
        <w:pStyle w:val="Compact"/>
        <w:numPr>
          <w:ilvl w:val="0"/>
          <w:numId w:val="1015"/>
        </w:numPr>
      </w:pPr>
      <w:r>
        <w:t xml:space="preserve">Management softens its expectation for sequential improvement or the second-half benefit from 180.</w:t>
      </w:r>
    </w:p>
    <w:bookmarkEnd w:id="24"/>
    <w:bookmarkEnd w:id="25"/>
    <w:bookmarkStart w:id="26" w:name="questions-management-needs-to-answer"/>
    <w:p>
      <w:pPr>
        <w:pStyle w:val="Heading2"/>
      </w:pPr>
      <w:r>
        <w:t xml:space="preserve">Questions management needs to answer</w:t>
      </w:r>
    </w:p>
    <w:p>
      <w:pPr>
        <w:pStyle w:val="Compact"/>
        <w:numPr>
          <w:ilvl w:val="0"/>
          <w:numId w:val="1016"/>
        </w:numPr>
      </w:pPr>
      <w:r>
        <w:t xml:space="preserve">Did catastrophe-property pricing decline more than the 15%–35% range seen in Q1?</w:t>
      </w:r>
    </w:p>
    <w:p>
      <w:pPr>
        <w:pStyle w:val="Compact"/>
        <w:numPr>
          <w:ilvl w:val="0"/>
          <w:numId w:val="1016"/>
        </w:numPr>
      </w:pPr>
      <w:r>
        <w:t xml:space="preserve">Are June property renewals showing any signs of stabilization?</w:t>
      </w:r>
    </w:p>
    <w:p>
      <w:pPr>
        <w:pStyle w:val="Compact"/>
        <w:numPr>
          <w:ilvl w:val="0"/>
          <w:numId w:val="1016"/>
        </w:numPr>
      </w:pPr>
      <w:r>
        <w:t xml:space="preserve">How much of Q2 contingent revenue reflects current underwriting performance versus true-ups?</w:t>
      </w:r>
    </w:p>
    <w:p>
      <w:pPr>
        <w:pStyle w:val="Compact"/>
        <w:numPr>
          <w:ilvl w:val="0"/>
          <w:numId w:val="1016"/>
        </w:numPr>
      </w:pPr>
      <w:r>
        <w:t xml:space="preserve">What is the updated annualized customer-revenue loss related to the competing start-up?</w:t>
      </w:r>
    </w:p>
    <w:p>
      <w:pPr>
        <w:pStyle w:val="Compact"/>
        <w:numPr>
          <w:ilvl w:val="0"/>
          <w:numId w:val="1016"/>
        </w:numPr>
      </w:pPr>
      <w:r>
        <w:t xml:space="preserve">Is the pharmacy consulting transition still expected to resume growth toward year-end?</w:t>
      </w:r>
    </w:p>
    <w:p>
      <w:pPr>
        <w:pStyle w:val="Compact"/>
        <w:numPr>
          <w:ilvl w:val="0"/>
          <w:numId w:val="1016"/>
        </w:numPr>
      </w:pPr>
      <w:r>
        <w:t xml:space="preserve">When should the new Retail sales model begin producing measurable organic improvement?</w:t>
      </w:r>
    </w:p>
    <w:p>
      <w:pPr>
        <w:pStyle w:val="Compact"/>
        <w:numPr>
          <w:ilvl w:val="0"/>
          <w:numId w:val="1016"/>
        </w:numPr>
      </w:pPr>
      <w:r>
        <w:t xml:space="preserve">Is Accession still on track for a roughly 35% full-year margin and</w:t>
      </w:r>
      <w:r>
        <w:t xml:space="preserve"> </w:t>
      </w:r>
      <m:oMath>
        <m:r>
          <m:t>30</m:t>
        </m:r>
        <m:r>
          <m:t>m</m:t>
        </m:r>
        <m:r>
          <m:t>i</m:t>
        </m:r>
        <m:r>
          <m:t>l</m:t>
        </m:r>
        <m:r>
          <m:t>l</m:t>
        </m:r>
        <m:r>
          <m:t>i</m:t>
        </m:r>
        <m:r>
          <m:t>o</m:t>
        </m:r>
        <m:r>
          <m:t>n</m:t>
        </m:r>
        <m:r>
          <m:rPr>
            <m:sty m:val="p"/>
          </m:rPr>
          <m:t>–</m:t>
        </m:r>
      </m:oMath>
      <w:r>
        <w:t xml:space="preserve">40 million of 2026 synergies?</w:t>
      </w:r>
    </w:p>
    <w:p>
      <w:pPr>
        <w:pStyle w:val="Compact"/>
        <w:numPr>
          <w:ilvl w:val="0"/>
          <w:numId w:val="1016"/>
        </w:numPr>
      </w:pPr>
      <w:r>
        <w:t xml:space="preserve">What organic contribution should investors expect when 180 enters the comparison base?</w:t>
      </w:r>
    </w:p>
    <w:p>
      <w:pPr>
        <w:pStyle w:val="Compact"/>
        <w:numPr>
          <w:ilvl w:val="0"/>
          <w:numId w:val="1016"/>
        </w:numPr>
      </w:pPr>
      <w:r>
        <w:t xml:space="preserve">How will capital be divided between deleveraging, repurchases and tuck-in acquisitions?</w:t>
      </w:r>
    </w:p>
    <w:p>
      <w:pPr>
        <w:pStyle w:val="Compact"/>
        <w:numPr>
          <w:ilvl w:val="0"/>
          <w:numId w:val="1016"/>
        </w:numPr>
      </w:pPr>
      <w:r>
        <w:t xml:space="preserve">Does management still view approximately 2.5% as a reasonable upper bound for quarterly organic growth later in 2026?</w:t>
      </w:r>
    </w:p>
    <w:bookmarkEnd w:id="26"/>
    <w:bookmarkStart w:id="27" w:name="bottom-line"/>
    <w:p>
      <w:pPr>
        <w:pStyle w:val="Heading2"/>
      </w:pPr>
      <w:r>
        <w:t xml:space="preserve">Bottom line</w:t>
      </w:r>
    </w:p>
    <w:p>
      <w:pPr>
        <w:pStyle w:val="FirstParagraph"/>
      </w:pPr>
      <w:r>
        <w:t xml:space="preserve">The headline numbers should look strong because of Accession, but</w:t>
      </w:r>
      <w:r>
        <w:t xml:space="preserve"> </w:t>
      </w:r>
      <w:r>
        <w:rPr>
          <w:b/>
          <w:bCs/>
        </w:rPr>
        <w:t xml:space="preserve">Q2 is fundamentally a test of whether BRO’s underlying growth has bottomed</w:t>
      </w:r>
      <w:r>
        <w:t xml:space="preserve">.</w:t>
      </w:r>
    </w:p>
    <w:p>
      <w:pPr>
        <w:pStyle w:val="BodyText"/>
      </w:pPr>
      <w:r>
        <w:t xml:space="preserve">The most constructive result would combine modest sequential improvement in organic growth, approximately flat Specialty Distribution performance despite severe property-rate pressure, resilient margins and unchanged confidence in the second-half acceleration. Strong contingents can support earnings, but they will not fully resolve the debate unless Retail new business and Accession-related growth also begin to improve.</w:t>
      </w:r>
    </w:p>
    <w:p>
      <w:pPr>
        <w:pStyle w:val="BodyText"/>
      </w:pPr>
      <w:r>
        <w:t xml:space="preserve">For this report,</w:t>
      </w:r>
      <w:r>
        <w:t xml:space="preserve"> </w:t>
      </w:r>
      <w:r>
        <w:rPr>
          <w:b/>
          <w:bCs/>
        </w:rPr>
        <w:t xml:space="preserve">organic growth by segment, the quality of contingents, Accession execution and the updated customer-loss figure matter more than the reported revenue growth rate</w:t>
      </w:r>
      <w:r>
        <w:t xml:space="preserve">.</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2026-07-27T00:11:57Z</dcterms:created>
  <dcterms:modified xsi:type="dcterms:W3CDTF">2026-07-27T00:11:57Z</dcterms:modified>
</cp:coreProperties>
</file>

<file path=docProps/custom.xml><?xml version="1.0" encoding="utf-8"?>
<Properties xmlns="http://schemas.openxmlformats.org/officeDocument/2006/custom-properties" xmlns:vt="http://schemas.openxmlformats.org/officeDocument/2006/docPropsVTypes"/>
</file>