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8c7569baacd56d916fb2cc08da602aaa211efe"/>
    <w:p>
      <w:pPr>
        <w:pStyle w:val="Heading1"/>
      </w:pPr>
      <w:r>
        <w:t xml:space="preserve">Brown &amp; Brown (NYSE: BRO) — 2Q26 Earnings Preview</w:t>
      </w:r>
    </w:p>
    <w:p>
      <w:pPr>
        <w:pStyle w:val="BlockText"/>
      </w:pPr>
      <w:r>
        <w:rPr>
          <w:b/>
          <w:bCs/>
        </w:rPr>
        <w:t xml:space="preserve">Timing note:</w:t>
      </w:r>
      <w:r>
        <w:t xml:space="preserve"> </w:t>
      </w:r>
      <w:r>
        <w:t xml:space="preserve">the event date provided is</w:t>
      </w:r>
      <w:r>
        <w:t xml:space="preserve"> </w:t>
      </w:r>
      <w:r>
        <w:rPr>
          <w:b/>
          <w:bCs/>
        </w:rPr>
        <w:t xml:space="preserve">Monday, July 27, 2026</w:t>
      </w:r>
      <w:r>
        <w:t xml:space="preserve">, which is</w:t>
      </w:r>
      <w:r>
        <w:t xml:space="preserve"> </w:t>
      </w:r>
      <w:r>
        <w:rPr>
          <w:b/>
          <w:bCs/>
        </w:rPr>
        <w:t xml:space="preserve">today</w:t>
      </w:r>
      <w:r>
        <w:t xml:space="preserve">, not tomorrow. This preview is written ahead of BRO’s 2Q26 earnings call.</w:t>
      </w:r>
    </w:p>
    <w:bookmarkStart w:id="9" w:name="Xe2468839298bd53f4e15b2eade8d39debfb578b"/>
    <w:p>
      <w:pPr>
        <w:pStyle w:val="Heading2"/>
      </w:pPr>
      <w:r>
        <w:t xml:space="preserve">Investment view: execution in a soft property market is the central issue</w:t>
      </w:r>
    </w:p>
    <w:p>
      <w:pPr>
        <w:pStyle w:val="FirstParagraph"/>
      </w:pPr>
      <w:r>
        <w:t xml:space="preserve">Brown &amp; Brown enters 2Q with a substantially larger revenue base following the Accession acquisition, but its core organic-growth setup remains challenging. The debate is not whether total revenue will grow sharply year over year—it almost certainly should, given the acquisition—but whether BRO can deliver on its prior message of</w:t>
      </w:r>
      <w:r>
        <w:t xml:space="preserve"> </w:t>
      </w:r>
      <w:r>
        <w:rPr>
          <w:b/>
          <w:bCs/>
        </w:rPr>
        <w:t xml:space="preserve">sequentially improving organic growth</w:t>
      </w:r>
      <w:r>
        <w:t xml:space="preserve">, preserve margins, and demonstrate that Accession integration is progressing without disrupting sales execution.</w:t>
      </w:r>
    </w:p>
    <w:p>
      <w:pPr>
        <w:pStyle w:val="BodyText"/>
      </w:pPr>
      <w:r>
        <w:t xml:space="preserve">The quarter is particularly important because</w:t>
      </w:r>
      <w:r>
        <w:t xml:space="preserve"> </w:t>
      </w:r>
      <w:r>
        <w:rPr>
          <w:b/>
          <w:bCs/>
        </w:rPr>
        <w:t xml:space="preserve">2Q is seasonally property-heavy</w:t>
      </w:r>
      <w:r>
        <w:t xml:space="preserve">, and management entered the year expecting continued pressure in catastrophe-exposed property pricing. That pressure is most meaningful in Specialty Distribution, where BRO has historically had greater CAT-property exposure. The offset is contingent commissions: management argues these are structurally countercyclical to softer E&amp;S property pricing, but investors will want to distinguish recurring underwriting-profit contingents from favorable timing and prior-period true-ups.</w:t>
      </w:r>
    </w:p>
    <w:bookmarkEnd w:id="9"/>
    <w:bookmarkStart w:id="14" w:name="what-matters-most-this-quarter"/>
    <w:p>
      <w:pPr>
        <w:pStyle w:val="Heading2"/>
      </w:pPr>
      <w:r>
        <w:t xml:space="preserve">What matters most this quarter</w:t>
      </w:r>
    </w:p>
    <w:bookmarkStart w:id="10" w:name="X6a21954b7d68d347f104fee1d7bdc1c0f18e7c0"/>
    <w:p>
      <w:pPr>
        <w:pStyle w:val="Heading3"/>
      </w:pPr>
      <w:r>
        <w:t xml:space="preserve">1. Organic revenue growth—especially in Specialty Distribution</w:t>
      </w:r>
    </w:p>
    <w:p>
      <w:pPr>
        <w:pStyle w:val="FirstParagraph"/>
      </w:pPr>
      <w:r>
        <w:t xml:space="preserve">In 1Q26, consolidated organic revenue was</w:t>
      </w:r>
      <w:r>
        <w:t xml:space="preserve"> </w:t>
      </w:r>
      <w:r>
        <w:rPr>
          <w:b/>
          <w:bCs/>
        </w:rPr>
        <w:t xml:space="preserve">flat</w:t>
      </w:r>
      <w:r>
        <w:t xml:space="preserve">, while organic growth including contingents was</w:t>
      </w:r>
      <w:r>
        <w:t xml:space="preserve"> </w:t>
      </w:r>
      <w:r>
        <w:rPr>
          <w:b/>
          <w:bCs/>
        </w:rPr>
        <w:t xml:space="preserve">2.2%</w:t>
      </w:r>
      <w:r>
        <w:t xml:space="preserve">. Management attributed the weak core metric to roughly 100 bps from the absence of prior-year flood-claims processing revenue and continued CAT-property rate pressure.</w:t>
      </w:r>
    </w:p>
    <w:p>
      <w:pPr>
        <w:pStyle w:val="BodyText"/>
      </w:pPr>
      <w:r>
        <w:t xml:space="preserve">The key setup for 2Q is more difficult:</w:t>
      </w:r>
    </w:p>
    <w:p>
      <w:pPr>
        <w:pStyle w:val="Compact"/>
        <w:numPr>
          <w:ilvl w:val="0"/>
          <w:numId w:val="1001"/>
        </w:numPr>
      </w:pPr>
      <w:r>
        <w:t xml:space="preserve">Management called 2Q a</w:t>
      </w:r>
      <w:r>
        <w:t xml:space="preserve"> </w:t>
      </w:r>
      <w:r>
        <w:rPr>
          <w:b/>
          <w:bCs/>
        </w:rPr>
        <w:t xml:space="preserve">heavy property-placement quarter</w:t>
      </w:r>
      <w:r>
        <w:t xml:space="preserve">.</w:t>
      </w:r>
    </w:p>
    <w:p>
      <w:pPr>
        <w:pStyle w:val="Compact"/>
        <w:numPr>
          <w:ilvl w:val="0"/>
          <w:numId w:val="1001"/>
        </w:numPr>
      </w:pPr>
      <w:r>
        <w:t xml:space="preserve">It said Specialty Distribution organic revenue</w:t>
      </w:r>
      <w:r>
        <w:t xml:space="preserve"> </w:t>
      </w:r>
      <w:r>
        <w:rPr>
          <w:b/>
          <w:bCs/>
        </w:rPr>
        <w:t xml:space="preserve">excluding contingents</w:t>
      </w:r>
      <w:r>
        <w:t xml:space="preserve"> </w:t>
      </w:r>
      <w:r>
        <w:t xml:space="preserve">was expected to be</w:t>
      </w:r>
      <w:r>
        <w:t xml:space="preserve"> </w:t>
      </w:r>
      <w:r>
        <w:rPr>
          <w:b/>
          <w:bCs/>
        </w:rPr>
        <w:t xml:space="preserve">relatively flat in 2Q</w:t>
      </w:r>
      <w:r>
        <w:t xml:space="preserve">.</w:t>
      </w:r>
    </w:p>
    <w:p>
      <w:pPr>
        <w:pStyle w:val="Compact"/>
        <w:numPr>
          <w:ilvl w:val="0"/>
          <w:numId w:val="1001"/>
        </w:numPr>
      </w:pPr>
      <w:r>
        <w:t xml:space="preserve">CAT-property pricing had declined roughly</w:t>
      </w:r>
      <w:r>
        <w:t xml:space="preserve"> </w:t>
      </w:r>
      <w:r>
        <w:rPr>
          <w:b/>
          <w:bCs/>
        </w:rPr>
        <w:t xml:space="preserve">15%–35%</w:t>
      </w:r>
      <w:r>
        <w:t xml:space="preserve"> </w:t>
      </w:r>
      <w:r>
        <w:t xml:space="preserve">in 1Q, with management cautioning that carrier or MGA behavior could become more aggressive.</w:t>
      </w:r>
    </w:p>
    <w:p>
      <w:pPr>
        <w:pStyle w:val="Compact"/>
        <w:numPr>
          <w:ilvl w:val="0"/>
          <w:numId w:val="1001"/>
        </w:numPr>
      </w:pPr>
      <w:r>
        <w:t xml:space="preserve">Casualty remains a relative bright spot, with constrained capacity and higher pricing, but it is not enough to fully neutralize the property headwind near term.</w:t>
      </w:r>
    </w:p>
    <w:p>
      <w:pPr>
        <w:pStyle w:val="FirstParagraph"/>
      </w:pPr>
      <w:r>
        <w:rPr>
          <w:b/>
          <w:bCs/>
        </w:rPr>
        <w:t xml:space="preserve">Investor focus:</w:t>
      </w:r>
      <w:r>
        <w:t xml:space="preserve"> </w:t>
      </w:r>
      <w:r>
        <w:t xml:space="preserve">Specialty Distribution’s ex-contingent organic growth versus management’s “relatively flat” framing, underlying policy/submission volumes, and any updated commentary on June property renewals.</w:t>
      </w:r>
    </w:p>
    <w:bookmarkEnd w:id="10"/>
    <w:bookmarkStart w:id="11" w:name="X1c8745598be1984c146793a21c327d32189e99b"/>
    <w:p>
      <w:pPr>
        <w:pStyle w:val="Heading3"/>
      </w:pPr>
      <w:r>
        <w:t xml:space="preserve">2. Whether contingents again cushion organic weakness</w:t>
      </w:r>
    </w:p>
    <w:p>
      <w:pPr>
        <w:pStyle w:val="FirstParagraph"/>
      </w:pPr>
      <w:r>
        <w:t xml:space="preserve">Contingent commissions were the principal positive surprise in 1Q. They rose</w:t>
      </w:r>
      <w:r>
        <w:t xml:space="preserve"> </w:t>
      </w:r>
      <m:oMath>
        <m:r>
          <m:t>54</m:t>
        </m:r>
        <m:r>
          <m:t>m</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30 million from stronger underwriting profitability</w:t>
      </w:r>
      <w:r>
        <w:t xml:space="preserve"> </w:t>
      </w:r>
      <w:r>
        <w:t xml:space="preserve">and</w:t>
      </w:r>
      <w:r>
        <w:t xml:space="preserve"> </w:t>
      </w:r>
      <m:oMath>
        <m:r>
          <m:t>22</m:t>
        </m:r>
        <m:r>
          <m:t>m</m:t>
        </m:r>
        <m:r>
          <m:t>i</m:t>
        </m:r>
        <m:r>
          <m:t>l</m:t>
        </m:r>
        <m:r>
          <m:t>l</m:t>
        </m:r>
        <m:r>
          <m:t>i</m:t>
        </m:r>
        <m:r>
          <m:t>o</m:t>
        </m:r>
        <m:r>
          <m:t>n</m:t>
        </m:r>
        <m:r>
          <m:t>f</m:t>
        </m:r>
        <m:r>
          <m:t>r</m:t>
        </m:r>
        <m:r>
          <m:t>o</m:t>
        </m:r>
        <m:r>
          <m:t>m</m:t>
        </m:r>
        <m:r>
          <m:t>A</m:t>
        </m:r>
        <m:r>
          <m:t>c</m:t>
        </m:r>
        <m:r>
          <m:t>c</m:t>
        </m:r>
        <m:r>
          <m:t>e</m:t>
        </m:r>
        <m:r>
          <m:t>s</m:t>
        </m:r>
        <m:r>
          <m:t>s</m:t>
        </m:r>
        <m:r>
          <m:t>i</m:t>
        </m:r>
        <m:r>
          <m:t>o</m:t>
        </m:r>
        <m:r>
          <m:t>n</m:t>
        </m:r>
        <m:r>
          <m:rPr>
            <m:sty m:val="p"/>
          </m:rPr>
          <m:t>*</m:t>
        </m:r>
        <m:r>
          <m:rPr>
            <m:sty m:val="p"/>
          </m:rPr>
          <m:t>*</m:t>
        </m:r>
        <m:r>
          <m:rPr>
            <m:sty m:val="p"/>
          </m:rPr>
          <m:t>.</m:t>
        </m:r>
        <m:r>
          <m:t>H</m:t>
        </m:r>
        <m:r>
          <m:t>o</m:t>
        </m:r>
        <m:r>
          <m:t>w</m:t>
        </m:r>
        <m:r>
          <m:t>e</m:t>
        </m:r>
        <m:r>
          <m:t>v</m:t>
        </m:r>
        <m:r>
          <m:t>e</m:t>
        </m:r>
        <m:r>
          <m:t>r</m:t>
        </m:r>
        <m:r>
          <m:rPr>
            <m:sty m:val="p"/>
          </m:rPr>
          <m:t>,</m:t>
        </m:r>
        <m:r>
          <m:t>m</m:t>
        </m:r>
        <m:r>
          <m:t>a</m:t>
        </m:r>
        <m:r>
          <m:t>n</m:t>
        </m:r>
        <m:r>
          <m:t>a</m:t>
        </m:r>
        <m:r>
          <m:t>g</m:t>
        </m:r>
        <m:r>
          <m:t>e</m:t>
        </m:r>
        <m:r>
          <m:t>m</m:t>
        </m:r>
        <m:r>
          <m:t>e</m:t>
        </m:r>
        <m:r>
          <m:t>n</m:t>
        </m:r>
        <m:r>
          <m:t>t</m:t>
        </m:r>
        <m:r>
          <m:t>a</m:t>
        </m:r>
        <m:r>
          <m:t>l</m:t>
        </m:r>
        <m:r>
          <m:t>s</m:t>
        </m:r>
        <m:r>
          <m:t>o</m:t>
        </m:r>
        <m:r>
          <m:t>i</m:t>
        </m:r>
        <m:r>
          <m:t>d</m:t>
        </m:r>
        <m:r>
          <m:t>e</m:t>
        </m:r>
        <m:r>
          <m:t>n</m:t>
        </m:r>
        <m:r>
          <m:t>t</m:t>
        </m:r>
        <m:r>
          <m:t>i</m:t>
        </m:r>
        <m:r>
          <m:t>f</m:t>
        </m:r>
        <m:r>
          <m:t>i</m:t>
        </m:r>
        <m:r>
          <m:t>e</m:t>
        </m:r>
        <m:r>
          <m:t>d</m:t>
        </m:r>
        <m:r>
          <m:t>r</m:t>
        </m:r>
        <m:r>
          <m:t>o</m:t>
        </m:r>
        <m:r>
          <m:t>u</m:t>
        </m:r>
        <m:r>
          <m:t>g</m:t>
        </m:r>
        <m:r>
          <m:t>h</m:t>
        </m:r>
        <m:r>
          <m:t>l</m:t>
        </m:r>
        <m:r>
          <m:t>y</m:t>
        </m:r>
        <m:r>
          <m:rPr>
            <m:sty m:val="p"/>
          </m:rPr>
          <m:t>*</m:t>
        </m:r>
        <m:r>
          <m:rPr>
            <m:sty m:val="p"/>
          </m:rPr>
          <m:t>*</m:t>
        </m:r>
      </m:oMath>
      <w:r>
        <w:rPr>
          <w:b/>
          <w:bCs/>
        </w:rPr>
        <w:t xml:space="preserve">15 million</w:t>
      </w:r>
      <w:r>
        <w:t xml:space="preserve"> </w:t>
      </w:r>
      <w:r>
        <w:t xml:space="preserve">tied to prior-year accrual finalization and timing of amounts that otherwise would have been recognized in late 2025.</w:t>
      </w:r>
    </w:p>
    <w:p>
      <w:pPr>
        <w:pStyle w:val="BodyText"/>
      </w:pPr>
      <w:r>
        <w:t xml:space="preserve">That makes 2Q a cleaner test of the earnings model:</w:t>
      </w:r>
    </w:p>
    <w:p>
      <w:pPr>
        <w:pStyle w:val="Compact"/>
        <w:numPr>
          <w:ilvl w:val="0"/>
          <w:numId w:val="1002"/>
        </w:numPr>
      </w:pPr>
      <w:r>
        <w:t xml:space="preserve">A strong contingent result could again support revenue, margins, and adjusted EPS despite weak core organic growth.</w:t>
      </w:r>
    </w:p>
    <w:p>
      <w:pPr>
        <w:pStyle w:val="Compact"/>
        <w:numPr>
          <w:ilvl w:val="0"/>
          <w:numId w:val="1002"/>
        </w:numPr>
      </w:pPr>
      <w:r>
        <w:t xml:space="preserve">A normalization would expose the degree to which softer CAT-property rates are weighing on the underlying brokerage business.</w:t>
      </w:r>
    </w:p>
    <w:p>
      <w:pPr>
        <w:pStyle w:val="Compact"/>
        <w:numPr>
          <w:ilvl w:val="0"/>
          <w:numId w:val="1002"/>
        </w:numPr>
      </w:pPr>
      <w:r>
        <w:t xml:space="preserve">Management now expects full-year companywide contingents to be</w:t>
      </w:r>
      <w:r>
        <w:t xml:space="preserve"> </w:t>
      </w:r>
      <w:r>
        <w:rPr>
          <w:b/>
          <w:bCs/>
        </w:rPr>
        <w:t xml:space="preserve">up</w:t>
      </w:r>
      <w:r>
        <w:t xml:space="preserve"> </w:t>
      </w:r>
      <w:r>
        <w:t xml:space="preserve">from approximately</w:t>
      </w:r>
      <w:r>
        <w:t xml:space="preserve"> </w:t>
      </w:r>
      <w:r>
        <w:rPr>
          <w:b/>
          <w:bCs/>
        </w:rPr>
        <w:t xml:space="preserve">$255 million</w:t>
      </w:r>
      <w:r>
        <w:t xml:space="preserve"> </w:t>
      </w:r>
      <w:r>
        <w:t xml:space="preserve">in 2025, after a strong 1Q.</w:t>
      </w:r>
    </w:p>
    <w:p>
      <w:pPr>
        <w:pStyle w:val="FirstParagraph"/>
      </w:pPr>
      <w:r>
        <w:rPr>
          <w:b/>
          <w:bCs/>
        </w:rPr>
        <w:t xml:space="preserve">Investor focus:</w:t>
      </w:r>
      <w:r>
        <w:t xml:space="preserve"> </w:t>
      </w:r>
      <w:r>
        <w:t xml:space="preserve">reported contingent revenue, the portion that is recurring versus timing-related, and whether management maintains or raises its full-year outlook.</w:t>
      </w:r>
    </w:p>
    <w:bookmarkEnd w:id="11"/>
    <w:bookmarkStart w:id="12" w:name="Xc4fb29602866ec408063bd1004c385418e29341"/>
    <w:p>
      <w:pPr>
        <w:pStyle w:val="Heading3"/>
      </w:pPr>
      <w:r>
        <w:t xml:space="preserve">3. Retail growth: signs that the second-half recovery is credible</w:t>
      </w:r>
    </w:p>
    <w:p>
      <w:pPr>
        <w:pStyle w:val="FirstParagraph"/>
      </w:pPr>
      <w:r>
        <w:t xml:space="preserve">Retail produced only</w:t>
      </w:r>
      <w:r>
        <w:t xml:space="preserve"> </w:t>
      </w:r>
      <w:r>
        <w:rPr>
          <w:b/>
          <w:bCs/>
        </w:rPr>
        <w:t xml:space="preserve">1.0% organic growth excluding contingents</w:t>
      </w:r>
      <w:r>
        <w:t xml:space="preserve"> </w:t>
      </w:r>
      <w:r>
        <w:t xml:space="preserve">and</w:t>
      </w:r>
      <w:r>
        <w:t xml:space="preserve"> </w:t>
      </w:r>
      <w:r>
        <w:rPr>
          <w:b/>
          <w:bCs/>
        </w:rPr>
        <w:t xml:space="preserve">1.3% including contingents</w:t>
      </w:r>
      <w:r>
        <w:t xml:space="preserve"> </w:t>
      </w:r>
      <w:r>
        <w:t xml:space="preserve">in 1Q. The segment has several moving pieces:</w:t>
      </w:r>
    </w:p>
    <w:p>
      <w:pPr>
        <w:pStyle w:val="Compact"/>
        <w:numPr>
          <w:ilvl w:val="0"/>
          <w:numId w:val="1003"/>
        </w:numPr>
      </w:pPr>
      <w:r>
        <w:t xml:space="preserve">A pharmacy-consulting business is shifting from a volume-based model to a per-employee-per-month model, which management expects to reduce organic growth by</w:t>
      </w:r>
      <w:r>
        <w:t xml:space="preserve"> </w:t>
      </w:r>
      <w:r>
        <w:rPr>
          <w:b/>
          <w:bCs/>
        </w:rPr>
        <w:t xml:space="preserve">50–100 bps</w:t>
      </w:r>
      <w:r>
        <w:t xml:space="preserve"> </w:t>
      </w:r>
      <w:r>
        <w:t xml:space="preserve">over the next couple of quarters.</w:t>
      </w:r>
    </w:p>
    <w:p>
      <w:pPr>
        <w:pStyle w:val="Compact"/>
        <w:numPr>
          <w:ilvl w:val="0"/>
          <w:numId w:val="1003"/>
        </w:numPr>
      </w:pPr>
      <w:r>
        <w:t xml:space="preserve">BRO is redesigning the combined Brown &amp; Brown/Risk Strategies sales model, aiming to combine local-market strength with greater specialization.</w:t>
      </w:r>
    </w:p>
    <w:p>
      <w:pPr>
        <w:pStyle w:val="Compact"/>
        <w:numPr>
          <w:ilvl w:val="0"/>
          <w:numId w:val="1003"/>
        </w:numPr>
      </w:pPr>
      <w:r>
        <w:t xml:space="preserve">Management expects this commercial reorganization to improve net-new-business activity over time, with more visible benefits in the second half of 2026 and into 2027.</w:t>
      </w:r>
    </w:p>
    <w:p>
      <w:pPr>
        <w:pStyle w:val="Compact"/>
        <w:numPr>
          <w:ilvl w:val="0"/>
          <w:numId w:val="1003"/>
        </w:numPr>
      </w:pPr>
      <w:r>
        <w:t xml:space="preserve">Litigation-related disruption tied to a competing start-up remains a drag. The company cited roughly</w:t>
      </w:r>
      <w:r>
        <w:t xml:space="preserve"> </w:t>
      </w:r>
      <m:oMath>
        <m:r>
          <m:t>31</m:t>
        </m:r>
        <m:r>
          <m:t>m</m:t>
        </m:r>
        <m:r>
          <m:t>i</m:t>
        </m:r>
        <m:r>
          <m:t>l</m:t>
        </m:r>
        <m:r>
          <m:t>l</m:t>
        </m:r>
        <m:r>
          <m:t>i</m:t>
        </m:r>
        <m:r>
          <m:t>o</m:t>
        </m:r>
        <m:r>
          <m:t>n</m:t>
        </m:r>
        <m:r>
          <m:t>o</m:t>
        </m:r>
        <m:r>
          <m:t>f</m:t>
        </m:r>
        <m:r>
          <m:t>a</m:t>
        </m:r>
        <m:r>
          <m:t>n</m:t>
        </m:r>
        <m:r>
          <m:t>n</m:t>
        </m:r>
        <m:r>
          <m:t>u</m:t>
        </m:r>
        <m:r>
          <m:t>a</m:t>
        </m:r>
        <m:r>
          <m:t>l</m:t>
        </m:r>
        <m:r>
          <m:t>i</m:t>
        </m:r>
        <m:r>
          <m:t>z</m:t>
        </m:r>
        <m:r>
          <m:t>e</m:t>
        </m:r>
        <m:r>
          <m:t>d</m:t>
        </m:r>
        <m:r>
          <m:t>c</m:t>
        </m:r>
        <m:r>
          <m:t>u</m:t>
        </m:r>
        <m:r>
          <m:t>s</m:t>
        </m:r>
        <m:r>
          <m:t>t</m:t>
        </m:r>
        <m:r>
          <m:t>o</m:t>
        </m:r>
        <m:r>
          <m:t>m</m:t>
        </m:r>
        <m:r>
          <m:t>e</m:t>
        </m:r>
        <m:r>
          <m:t>r</m:t>
        </m:r>
        <m:r>
          <m:t>r</m:t>
        </m:r>
        <m:r>
          <m:t>e</m:t>
        </m:r>
        <m:r>
          <m:t>v</m:t>
        </m:r>
        <m:r>
          <m:t>e</m:t>
        </m:r>
        <m:r>
          <m:t>n</m:t>
        </m:r>
        <m:r>
          <m:t>u</m:t>
        </m:r>
        <m:r>
          <m:t>e</m:t>
        </m:r>
        <m:r>
          <m:rPr>
            <m:sty m:val="p"/>
          </m:rPr>
          <m:t>*</m:t>
        </m:r>
        <m:r>
          <m:rPr>
            <m:sty m:val="p"/>
          </m:rPr>
          <m:t>*</m:t>
        </m:r>
        <m:r>
          <m:t>t</m:t>
        </m:r>
        <m:r>
          <m:t>h</m:t>
        </m:r>
        <m:r>
          <m:t>a</m:t>
        </m:r>
        <m:r>
          <m:t>t</m:t>
        </m:r>
        <m:r>
          <m:t>h</m:t>
        </m:r>
        <m:r>
          <m:t>a</m:t>
        </m:r>
        <m:r>
          <m:t>d</m:t>
        </m:r>
        <m:r>
          <m:t>m</m:t>
        </m:r>
        <m:r>
          <m:t>o</m:t>
        </m:r>
        <m:r>
          <m:t>v</m:t>
        </m:r>
        <m:r>
          <m:t>e</m:t>
        </m:r>
        <m:r>
          <m:t>d</m:t>
        </m:r>
        <m:r>
          <m:t>a</m:t>
        </m:r>
        <m:r>
          <m:t>s</m:t>
        </m:r>
        <m:r>
          <m:t>o</m:t>
        </m:r>
        <m:r>
          <m:t>f</m:t>
        </m:r>
        <m:r>
          <m:t>M</m:t>
        </m:r>
        <m:r>
          <m:t>a</m:t>
        </m:r>
        <m:r>
          <m:t>r</m:t>
        </m:r>
        <m:r>
          <m:t>c</m:t>
        </m:r>
        <m:r>
          <m:t>h</m:t>
        </m:r>
        <m:r>
          <m:t>31</m:t>
        </m:r>
        <m:r>
          <m:rPr>
            <m:sty m:val="p"/>
          </m:rPr>
          <m:t>,</m:t>
        </m:r>
        <m:r>
          <m:t>a</m:t>
        </m:r>
        <m:r>
          <m:t>l</m:t>
        </m:r>
        <m:r>
          <m:t>t</m:t>
        </m:r>
        <m:r>
          <m:t>h</m:t>
        </m:r>
        <m:r>
          <m:t>o</m:t>
        </m:r>
        <m:r>
          <m:t>u</m:t>
        </m:r>
        <m:r>
          <m:t>g</m:t>
        </m:r>
        <m:r>
          <m:t>h</m:t>
        </m:r>
        <m:r>
          <m:t>o</m:t>
        </m:r>
        <m:r>
          <m:t>n</m:t>
        </m:r>
        <m:r>
          <m:t>l</m:t>
        </m:r>
        <m:r>
          <m:t>y</m:t>
        </m:r>
        <m:r>
          <m:t>a</m:t>
        </m:r>
        <m:r>
          <m:t>b</m:t>
        </m:r>
        <m:r>
          <m:t>o</m:t>
        </m:r>
        <m:r>
          <m:t>u</m:t>
        </m:r>
        <m:r>
          <m:t>t</m:t>
        </m:r>
        <m:r>
          <m:rPr>
            <m:sty m:val="p"/>
          </m:rPr>
          <m:t>*</m:t>
        </m:r>
        <m:r>
          <m:rPr>
            <m:sty m:val="p"/>
          </m:rPr>
          <m:t>*</m:t>
        </m:r>
      </m:oMath>
      <w:r>
        <w:rPr>
          <w:b/>
          <w:bCs/>
        </w:rPr>
        <w:t xml:space="preserve">10 million</w:t>
      </w:r>
      <w:r>
        <w:t xml:space="preserve"> </w:t>
      </w:r>
      <w:r>
        <w:t xml:space="preserve">affected 1Q revenue.</w:t>
      </w:r>
    </w:p>
    <w:p>
      <w:pPr>
        <w:pStyle w:val="FirstParagraph"/>
      </w:pPr>
      <w:r>
        <w:rPr>
          <w:b/>
          <w:bCs/>
        </w:rPr>
        <w:t xml:space="preserve">Investor focus:</w:t>
      </w:r>
      <w:r>
        <w:t xml:space="preserve"> </w:t>
      </w:r>
      <w:r>
        <w:t xml:space="preserve">Retail organic growth progression despite the pharmacy headwind, sales-production indicators, and any update on lost-business revenue and litigation.</w:t>
      </w:r>
    </w:p>
    <w:bookmarkEnd w:id="12"/>
    <w:bookmarkStart w:id="13" w:name="X556511576eb3007533340716f00d8f988f3abb7"/>
    <w:p>
      <w:pPr>
        <w:pStyle w:val="Heading3"/>
      </w:pPr>
      <w:r>
        <w:t xml:space="preserve">4. Accession integration, synergy delivery, and margins</w:t>
      </w:r>
    </w:p>
    <w:p>
      <w:pPr>
        <w:pStyle w:val="FirstParagraph"/>
      </w:pPr>
      <w:r>
        <w:t xml:space="preserve">Accession is both the largest source of reported growth and the largest execution variable. BRO recorded approximately</w:t>
      </w:r>
      <w:r>
        <w:t xml:space="preserve"> </w:t>
      </w:r>
      <w:r>
        <w:rPr>
          <w:b/>
          <w:bCs/>
        </w:rPr>
        <w:t xml:space="preserve">$445 million</w:t>
      </w:r>
      <w:r>
        <w:t xml:space="preserve"> </w:t>
      </w:r>
      <w:r>
        <w:t xml:space="preserve">of Accession revenue in 1Q26. Because of seasonal revenue/profit phasing and the relative mix of the legacy businesses, Accession reduced consolidated adjusted EBITDAC margin by roughly</w:t>
      </w:r>
      <w:r>
        <w:t xml:space="preserve"> </w:t>
      </w:r>
      <w:r>
        <w:rPr>
          <w:b/>
          <w:bCs/>
        </w:rPr>
        <w:t xml:space="preserve">200 bps</w:t>
      </w:r>
      <w:r>
        <w:t xml:space="preserve"> </w:t>
      </w:r>
      <w:r>
        <w:t xml:space="preserve">in 1Q.</w:t>
      </w:r>
    </w:p>
    <w:p>
      <w:pPr>
        <w:pStyle w:val="BodyText"/>
      </w:pPr>
      <w:r>
        <w:t xml:space="preserve">Management continues to target:</w:t>
      </w:r>
    </w:p>
    <w:p>
      <w:pPr>
        <w:pStyle w:val="Compact"/>
        <w:numPr>
          <w:ilvl w:val="0"/>
          <w:numId w:val="1004"/>
        </w:numPr>
      </w:pPr>
      <w:r>
        <w:t xml:space="preserve">About</w:t>
      </w:r>
      <w:r>
        <w:t xml:space="preserve"> </w:t>
      </w:r>
      <w:r>
        <w:rPr>
          <w:b/>
          <w:bCs/>
        </w:rPr>
        <w:t xml:space="preserve">35% adjusted EBITDAC margin</w:t>
      </w:r>
      <w:r>
        <w:t xml:space="preserve"> </w:t>
      </w:r>
      <w:r>
        <w:t xml:space="preserve">for Accession for full-year 2026.</w:t>
      </w:r>
    </w:p>
    <w:p>
      <w:pPr>
        <w:pStyle w:val="Compact"/>
        <w:numPr>
          <w:ilvl w:val="0"/>
          <w:numId w:val="1004"/>
        </w:numPr>
      </w:pPr>
      <m:oMath>
        <m:r>
          <m:t>30</m:t>
        </m:r>
        <m:r>
          <m:t>m</m:t>
        </m:r>
        <m:r>
          <m:t>i</m:t>
        </m:r>
        <m:r>
          <m:t>l</m:t>
        </m:r>
        <m:r>
          <m:t>l</m:t>
        </m:r>
        <m:r>
          <m:t>i</m:t>
        </m:r>
        <m:r>
          <m:t>o</m:t>
        </m:r>
        <m:r>
          <m:t>n</m:t>
        </m:r>
        <m:r>
          <m:rPr>
            <m:sty m:val="p"/>
          </m:rPr>
          <m:t>–</m:t>
        </m:r>
      </m:oMath>
      <w:r>
        <w:rPr>
          <w:b/>
          <w:bCs/>
        </w:rPr>
        <w:t xml:space="preserve">40 million</w:t>
      </w:r>
      <w:r>
        <w:t xml:space="preserve"> </w:t>
      </w:r>
      <w:r>
        <w:t xml:space="preserve">of EBITDA synergies during 2026.</w:t>
      </w:r>
    </w:p>
    <w:p>
      <w:pPr>
        <w:pStyle w:val="Compact"/>
        <w:numPr>
          <w:ilvl w:val="0"/>
          <w:numId w:val="1004"/>
        </w:numPr>
      </w:pPr>
      <w:r>
        <w:t xml:space="preserve">Improved Specialty Distribution organic contribution in the second half as the 180 business rolls into organic comparisons; that business carries more casualty and less property exposure than legacy BRO Specialty Distribution.</w:t>
      </w:r>
    </w:p>
    <w:p>
      <w:pPr>
        <w:pStyle w:val="FirstParagraph"/>
      </w:pPr>
      <w:r>
        <w:rPr>
          <w:b/>
          <w:bCs/>
        </w:rPr>
        <w:t xml:space="preserve">Investor focus:</w:t>
      </w:r>
      <w:r>
        <w:t xml:space="preserve"> </w:t>
      </w:r>
      <w:r>
        <w:t xml:space="preserve">evidence that synergy capture is on track, Attrition/producer-retention trends, incremental integration costs, and whether margin performance improves as the revenue mix normalizes.</w:t>
      </w:r>
    </w:p>
    <w:bookmarkEnd w:id="13"/>
    <w:bookmarkEnd w:id="14"/>
    <w:bookmarkStart w:id="15" w:name="baseline-and-key-comparisons"/>
    <w:p>
      <w:pPr>
        <w:pStyle w:val="Heading2"/>
      </w:pPr>
      <w:r>
        <w:t xml:space="preserve">Baseline and key comparisons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What it means for 2Q26</w:t>
            </w:r>
          </w:p>
        </w:tc>
      </w:tr>
      <w:tr>
        <w:tc>
          <w:tcPr/>
          <w:p>
            <w:pPr>
              <w:pStyle w:val="Compact"/>
            </w:pPr>
            <w:r>
              <w:t xml:space="preserve">Total revenue</w:t>
            </w:r>
          </w:p>
        </w:tc>
        <w:tc>
          <w:tcPr/>
          <w:p>
            <w:pPr>
              <w:pStyle w:val="Compact"/>
              <w:jc w:val="right"/>
            </w:pPr>
            <w:r>
              <w:t xml:space="preserve">$1.285B</w:t>
            </w:r>
          </w:p>
        </w:tc>
        <w:tc>
          <w:tcPr/>
          <w:p>
            <w:pPr>
              <w:pStyle w:val="Compact"/>
              <w:jc w:val="right"/>
            </w:pPr>
            <w:r>
              <w:t xml:space="preserve">$1.901B</w:t>
            </w:r>
          </w:p>
        </w:tc>
        <w:tc>
          <w:tcPr/>
          <w:p>
            <w:pPr>
              <w:pStyle w:val="Compact"/>
            </w:pPr>
            <w:r>
              <w:t xml:space="preserve">Year-over-year reported growth should be heavily acquisition-driven.</w:t>
            </w:r>
          </w:p>
        </w:tc>
      </w:tr>
      <w:tr>
        <w:tc>
          <w:tcPr/>
          <w:p>
            <w:pPr>
              <w:pStyle w:val="Compact"/>
            </w:pPr>
            <w:r>
              <w:t xml:space="preserve">Organic revenue growth</w:t>
            </w:r>
          </w:p>
        </w:tc>
        <w:tc>
          <w:tcPr/>
          <w:p>
            <w:pPr>
              <w:pStyle w:val="Compact"/>
              <w:jc w:val="right"/>
            </w:pPr>
            <w:r>
              <w:t xml:space="preserve">3.6%</w:t>
            </w:r>
          </w:p>
        </w:tc>
        <w:tc>
          <w:tcPr/>
          <w:p>
            <w:pPr>
              <w:pStyle w:val="Compact"/>
              <w:jc w:val="right"/>
            </w:pPr>
            <w:r>
              <w:t xml:space="preserve">0.0%</w:t>
            </w:r>
          </w:p>
        </w:tc>
        <w:tc>
          <w:tcPr/>
          <w:p>
            <w:pPr>
              <w:pStyle w:val="Compact"/>
            </w:pPr>
            <w:r>
              <w:t xml:space="preserve">The central operational scorecard is whether core growth begins improving sequentially.</w:t>
            </w:r>
          </w:p>
        </w:tc>
      </w:tr>
      <w:tr>
        <w:tc>
          <w:tcPr/>
          <w:p>
            <w:pPr>
              <w:pStyle w:val="Compact"/>
            </w:pPr>
            <w:r>
              <w:t xml:space="preserve">Organic growth incl. contingents</w:t>
            </w:r>
          </w:p>
        </w:tc>
        <w:tc>
          <w:tcPr/>
          <w:p>
            <w:pPr>
              <w:pStyle w:val="Compact"/>
              <w:jc w:val="right"/>
            </w:pPr>
            <w:r>
              <w:t xml:space="preserve">Not disclosed in this format</w:t>
            </w:r>
          </w:p>
        </w:tc>
        <w:tc>
          <w:tcPr/>
          <w:p>
            <w:pPr>
              <w:pStyle w:val="Compact"/>
              <w:jc w:val="right"/>
            </w:pPr>
            <w:r>
              <w:t xml:space="preserve">2.2%</w:t>
            </w:r>
          </w:p>
        </w:tc>
        <w:tc>
          <w:tcPr/>
          <w:p>
            <w:pPr>
              <w:pStyle w:val="Compact"/>
            </w:pPr>
            <w:r>
              <w:t xml:space="preserve">Investors should assess how much of growth is contingent-driven.</w:t>
            </w:r>
          </w:p>
        </w:tc>
      </w:tr>
      <w:tr>
        <w:tc>
          <w:tcPr/>
          <w:p>
            <w:pPr>
              <w:pStyle w:val="Compact"/>
            </w:pPr>
            <w:r>
              <w:t xml:space="preserve">Adjusted EBITDAC margin</w:t>
            </w:r>
          </w:p>
        </w:tc>
        <w:tc>
          <w:tcPr/>
          <w:p>
            <w:pPr>
              <w:pStyle w:val="Compact"/>
              <w:jc w:val="right"/>
            </w:pPr>
            <w:r>
              <w:t xml:space="preserve">36.7%</w:t>
            </w:r>
          </w:p>
        </w:tc>
        <w:tc>
          <w:tcPr/>
          <w:p>
            <w:pPr>
              <w:pStyle w:val="Compact"/>
              <w:jc w:val="right"/>
            </w:pPr>
            <w:r>
              <w:t xml:space="preserve">38.5%</w:t>
            </w:r>
          </w:p>
        </w:tc>
        <w:tc>
          <w:tcPr/>
          <w:p>
            <w:pPr>
              <w:pStyle w:val="Compact"/>
            </w:pPr>
            <w:r>
              <w:t xml:space="preserve">Margin durability remains important amid integration, softer pricing, and elevated contingents.</w:t>
            </w:r>
          </w:p>
        </w:tc>
      </w:tr>
      <w:tr>
        <w:tc>
          <w:tcPr/>
          <w:p>
            <w:pPr>
              <w:pStyle w:val="Compact"/>
            </w:pPr>
            <w:r>
              <w:t xml:space="preserve">Adjusted diluted EPS</w:t>
            </w:r>
          </w:p>
        </w:tc>
        <w:tc>
          <w:tcPr/>
          <w:p>
            <w:pPr>
              <w:pStyle w:val="Compact"/>
              <w:jc w:val="right"/>
            </w:pPr>
            <w:r>
              <w:t xml:space="preserve">$1.03</w:t>
            </w:r>
          </w:p>
        </w:tc>
        <w:tc>
          <w:tcPr/>
          <w:p>
            <w:pPr>
              <w:pStyle w:val="Compact"/>
              <w:jc w:val="right"/>
            </w:pPr>
            <w:r>
              <w:t xml:space="preserve">$1.39</w:t>
            </w:r>
          </w:p>
        </w:tc>
        <w:tc>
          <w:tcPr/>
          <w:p>
            <w:pPr>
              <w:pStyle w:val="Compact"/>
            </w:pPr>
            <w:r>
              <w:t xml:space="preserve">EPS comparison is complicated by acquisition financing, higher amortization, and a higher share count.</w:t>
            </w:r>
          </w:p>
        </w:tc>
      </w:tr>
    </w:tbl>
    <w:bookmarkEnd w:id="15"/>
    <w:bookmarkStart w:id="16" w:name="earnings-quality-considerations"/>
    <w:p>
      <w:pPr>
        <w:pStyle w:val="Heading2"/>
      </w:pPr>
      <w:r>
        <w:t xml:space="preserve">Earnings-quality considerations</w:t>
      </w:r>
    </w:p>
    <w:p>
      <w:pPr>
        <w:pStyle w:val="FirstParagraph"/>
      </w:pPr>
      <w:r>
        <w:t xml:space="preserve">Headline EPS may be less informative than usual. The Accession transaction has introduced several material items:</w:t>
      </w:r>
    </w:p>
    <w:p>
      <w:pPr>
        <w:pStyle w:val="Compact"/>
        <w:numPr>
          <w:ilvl w:val="0"/>
          <w:numId w:val="1005"/>
        </w:numPr>
      </w:pPr>
      <w:r>
        <w:rPr>
          <w:b/>
          <w:bCs/>
        </w:rPr>
        <w:t xml:space="preserve">Higher amortization:</w:t>
      </w:r>
      <w:r>
        <w:t xml:space="preserve"> </w:t>
      </w:r>
      <w:r>
        <w:t xml:space="preserve">$116 million in 1Q26 versus $53 million a year earlier.</w:t>
      </w:r>
    </w:p>
    <w:p>
      <w:pPr>
        <w:pStyle w:val="Compact"/>
        <w:numPr>
          <w:ilvl w:val="0"/>
          <w:numId w:val="1005"/>
        </w:numPr>
      </w:pPr>
      <w:r>
        <w:rPr>
          <w:b/>
          <w:bCs/>
        </w:rPr>
        <w:t xml:space="preserve">Higher interest expense:</w:t>
      </w:r>
      <w:r>
        <w:t xml:space="preserve"> </w:t>
      </w:r>
      <w:r>
        <w:t xml:space="preserve">$99 million in 1Q26 versus $46 million a year earlier.</w:t>
      </w:r>
    </w:p>
    <w:p>
      <w:pPr>
        <w:pStyle w:val="Compact"/>
        <w:numPr>
          <w:ilvl w:val="0"/>
          <w:numId w:val="1005"/>
        </w:numPr>
      </w:pPr>
      <w:r>
        <w:rPr>
          <w:b/>
          <w:bCs/>
        </w:rPr>
        <w:t xml:space="preserve">Higher diluted share count:</w:t>
      </w:r>
      <w:r>
        <w:t xml:space="preserve"> </w:t>
      </w:r>
      <w:r>
        <w:t xml:space="preserve">337 million in 1Q26, up from 285 million a year earlier, primarily due to shares issued for Accession.</w:t>
      </w:r>
    </w:p>
    <w:p>
      <w:pPr>
        <w:pStyle w:val="Compact"/>
        <w:numPr>
          <w:ilvl w:val="0"/>
          <w:numId w:val="1005"/>
        </w:numPr>
      </w:pPr>
      <w:r>
        <w:rPr>
          <w:b/>
          <w:bCs/>
        </w:rPr>
        <w:t xml:space="preserve">Integration costs:</w:t>
      </w:r>
      <w:r>
        <w:t xml:space="preserve"> </w:t>
      </w:r>
      <w:r>
        <w:t xml:space="preserve">$26 million in 1Q, excluded from adjusted metrics.</w:t>
      </w:r>
    </w:p>
    <w:p>
      <w:pPr>
        <w:pStyle w:val="Compact"/>
        <w:numPr>
          <w:ilvl w:val="0"/>
          <w:numId w:val="1005"/>
        </w:numPr>
      </w:pPr>
      <w:r>
        <w:t xml:space="preserve">A</w:t>
      </w:r>
      <w:r>
        <w:t xml:space="preserve"> </w:t>
      </w:r>
      <w:r>
        <w:rPr>
          <w:b/>
          <w:bCs/>
        </w:rPr>
        <w:t xml:space="preserve">non-cash escrow-liability mark-to-market</w:t>
      </w:r>
      <w:r>
        <w:t xml:space="preserve"> </w:t>
      </w:r>
      <w:r>
        <w:t xml:space="preserve">benefit of $64 million affected GAAP results in 1Q.</w:t>
      </w:r>
    </w:p>
    <w:p>
      <w:pPr>
        <w:pStyle w:val="FirstParagraph"/>
      </w:pPr>
      <w:r>
        <w:t xml:space="preserve">BRO repurchased approximately</w:t>
      </w:r>
      <w:r>
        <w:t xml:space="preserve"> </w:t>
      </w:r>
      <w:r>
        <w:rPr>
          <w:b/>
          <w:bCs/>
        </w:rPr>
        <w:t xml:space="preserve">$350 million</w:t>
      </w:r>
      <w:r>
        <w:t xml:space="preserve"> </w:t>
      </w:r>
      <w:r>
        <w:t xml:space="preserve">of shares over the preceding six months, reducing share count by about 5 million shares. Still, the investment case needs to show that organic growth, synergies, and cash generation can more than offset the deal’s financing and dilution burden.</w:t>
      </w:r>
    </w:p>
    <w:bookmarkEnd w:id="16"/>
    <w:bookmarkStart w:id="17" w:name="balance-sheet-and-capital-allocation"/>
    <w:p>
      <w:pPr>
        <w:pStyle w:val="Heading2"/>
      </w:pPr>
      <w:r>
        <w:t xml:space="preserve">Balance sheet and capital allocation</w:t>
      </w:r>
    </w:p>
    <w:p>
      <w:pPr>
        <w:pStyle w:val="FirstParagraph"/>
      </w:pPr>
      <w:r>
        <w:t xml:space="preserve">BRO finished 1Q with</w:t>
      </w:r>
      <w:r>
        <w:t xml:space="preserve"> </w:t>
      </w:r>
      <m:oMath>
        <m:r>
          <m:t>1.0</m:t>
        </m:r>
        <m:r>
          <m:t>b</m:t>
        </m:r>
        <m:r>
          <m:t>i</m:t>
        </m:r>
        <m:r>
          <m:t>l</m:t>
        </m:r>
        <m:r>
          <m:t>l</m:t>
        </m:r>
        <m:r>
          <m:t>i</m:t>
        </m:r>
        <m:r>
          <m:t>o</m:t>
        </m:r>
        <m:r>
          <m:t>n</m:t>
        </m:r>
        <m:r>
          <m:t>o</m:t>
        </m:r>
        <m:r>
          <m:t>f</m:t>
        </m:r>
        <m:r>
          <m:t>c</m:t>
        </m:r>
        <m:r>
          <m:t>a</m:t>
        </m:r>
        <m:r>
          <m:t>s</m:t>
        </m:r>
        <m:r>
          <m:t>h</m:t>
        </m:r>
        <m:r>
          <m:t>a</m:t>
        </m:r>
        <m:r>
          <m:t>n</m:t>
        </m:r>
        <m:r>
          <m:t>d</m:t>
        </m:r>
        <m:r>
          <m:t>c</m:t>
        </m:r>
        <m:r>
          <m:t>a</m:t>
        </m:r>
        <m:r>
          <m:t>s</m:t>
        </m:r>
        <m:r>
          <m:t>h</m:t>
        </m:r>
        <m:r>
          <m:t>e</m:t>
        </m:r>
        <m:r>
          <m:t>q</m:t>
        </m:r>
        <m:r>
          <m:t>u</m:t>
        </m:r>
        <m:r>
          <m:t>i</m:t>
        </m:r>
        <m:r>
          <m:t>v</m:t>
        </m:r>
        <m:r>
          <m:t>a</m:t>
        </m:r>
        <m:r>
          <m:t>l</m:t>
        </m:r>
        <m:r>
          <m:t>e</m:t>
        </m:r>
        <m:r>
          <m:t>n</m:t>
        </m:r>
        <m:r>
          <m:t>t</m:t>
        </m:r>
        <m:r>
          <m:t>s</m:t>
        </m:r>
        <m:r>
          <m:rPr>
            <m:sty m:val="p"/>
          </m:rPr>
          <m:t>*</m:t>
        </m:r>
        <m:r>
          <m:rPr>
            <m:sty m:val="p"/>
          </m:rPr>
          <m:t>*</m:t>
        </m:r>
        <m:r>
          <m:rPr>
            <m:sty m:val="p"/>
          </m:rPr>
          <m:t>,</m:t>
        </m:r>
        <m:r>
          <m:rPr>
            <m:sty m:val="p"/>
          </m:rPr>
          <m:t>*</m:t>
        </m:r>
        <m:r>
          <m:rPr>
            <m:sty m:val="p"/>
          </m:rPr>
          <m:t>*</m:t>
        </m:r>
      </m:oMath>
      <w:r>
        <w:rPr>
          <w:b/>
          <w:bCs/>
        </w:rPr>
        <w:t xml:space="preserve">1.24 billion of current debt</w:t>
      </w:r>
      <w:r>
        <w:t xml:space="preserve">, and</w:t>
      </w:r>
      <w:r>
        <w:t xml:space="preserve"> </w:t>
      </w:r>
      <m:oMath>
        <m:r>
          <m:t>6.58</m:t>
        </m:r>
        <m:r>
          <m:t>b</m:t>
        </m:r>
        <m:r>
          <m:t>i</m:t>
        </m:r>
        <m:r>
          <m:t>l</m:t>
        </m:r>
        <m:r>
          <m:t>l</m:t>
        </m:r>
        <m:r>
          <m:t>i</m:t>
        </m:r>
        <m:r>
          <m:t>o</m:t>
        </m:r>
        <m:r>
          <m:t>n</m:t>
        </m:r>
        <m:r>
          <m:t>o</m:t>
        </m:r>
        <m:r>
          <m:t>f</m:t>
        </m:r>
        <m:r>
          <m:t>l</m:t>
        </m:r>
        <m:r>
          <m:t>o</m:t>
        </m:r>
        <m:r>
          <m:t>n</m:t>
        </m:r>
        <m:r>
          <m:t>g</m:t>
        </m:r>
        <m:r>
          <m:rPr>
            <m:sty m:val="p"/>
          </m:rPr>
          <m:t>−</m:t>
        </m:r>
        <m:r>
          <m:t>t</m:t>
        </m:r>
        <m:r>
          <m:t>e</m:t>
        </m:r>
        <m:r>
          <m:t>r</m:t>
        </m:r>
        <m:r>
          <m:t>m</m:t>
        </m:r>
        <m:r>
          <m:t>d</m:t>
        </m:r>
        <m:r>
          <m:t>e</m:t>
        </m:r>
        <m:r>
          <m:t>b</m:t>
        </m:r>
        <m:r>
          <m:t>t</m:t>
        </m:r>
        <m:r>
          <m:rPr>
            <m:sty m:val="p"/>
          </m:rPr>
          <m:t>*</m:t>
        </m:r>
        <m:r>
          <m:rPr>
            <m:sty m:val="p"/>
          </m:rPr>
          <m:t>*</m:t>
        </m:r>
        <m:r>
          <m:rPr>
            <m:sty m:val="p"/>
          </m:rPr>
          <m:t>.</m:t>
        </m:r>
        <m:r>
          <m:t>O</m:t>
        </m:r>
        <m:r>
          <m:t>p</m:t>
        </m:r>
        <m:r>
          <m:t>e</m:t>
        </m:r>
        <m:r>
          <m:t>r</m:t>
        </m:r>
        <m:r>
          <m:t>a</m:t>
        </m:r>
        <m:r>
          <m:t>t</m:t>
        </m:r>
        <m:r>
          <m:t>i</m:t>
        </m:r>
        <m:r>
          <m:t>n</m:t>
        </m:r>
        <m:r>
          <m:t>g</m:t>
        </m:r>
        <m:r>
          <m:t>c</m:t>
        </m:r>
        <m:r>
          <m:t>a</m:t>
        </m:r>
        <m:r>
          <m:t>s</m:t>
        </m:r>
        <m:r>
          <m:t>h</m:t>
        </m:r>
        <m:r>
          <m:t>f</m:t>
        </m:r>
        <m:r>
          <m:t>l</m:t>
        </m:r>
        <m:r>
          <m:t>o</m:t>
        </m:r>
        <m:r>
          <m:t>w</m:t>
        </m:r>
        <m:r>
          <m:t>w</m:t>
        </m:r>
        <m:r>
          <m:t>a</m:t>
        </m:r>
        <m:r>
          <m:t>s</m:t>
        </m:r>
        <m:r>
          <m:t>s</m:t>
        </m:r>
        <m:r>
          <m:t>o</m:t>
        </m:r>
        <m:r>
          <m:t>l</m:t>
        </m:r>
        <m:r>
          <m:t>i</m:t>
        </m:r>
        <m:r>
          <m:t>d</m:t>
        </m:r>
        <m:r>
          <m:t>a</m:t>
        </m:r>
        <m:r>
          <m:t>t</m:t>
        </m:r>
        <m:r>
          <m:rPr>
            <m:sty m:val="p"/>
          </m:rPr>
          <m:t>*</m:t>
        </m:r>
        <m:r>
          <m:rPr>
            <m:sty m:val="p"/>
          </m:rPr>
          <m:t>*</m:t>
        </m:r>
      </m:oMath>
      <w:r>
        <w:rPr>
          <w:b/>
          <w:bCs/>
        </w:rPr>
        <w:t xml:space="preserve">262 million</w:t>
      </w:r>
      <w:r>
        <w:t xml:space="preserve">, up 23% year over year, although integration costs and above-estimate earn-out payments tempered conversion.</w:t>
      </w:r>
    </w:p>
    <w:p>
      <w:pPr>
        <w:pStyle w:val="BodyText"/>
      </w:pPr>
      <w:r>
        <w:t xml:space="preserve">Management’s capital-allocation priorities remain deleveraging, tuck-in/specialty M&amp;A, dividends, technology investment, and repurchases. For 2Q, investors should look for evidence that cash generation supports those priorities without slowing debt reduction.</w:t>
      </w:r>
    </w:p>
    <w:bookmarkEnd w:id="17"/>
    <w:bookmarkStart w:id="18" w:name="what-could-drive-an-upside-reaction"/>
    <w:p>
      <w:pPr>
        <w:pStyle w:val="Heading2"/>
      </w:pPr>
      <w:r>
        <w:t xml:space="preserve">What could drive an upside reaction</w:t>
      </w:r>
    </w:p>
    <w:p>
      <w:pPr>
        <w:pStyle w:val="Compact"/>
        <w:numPr>
          <w:ilvl w:val="0"/>
          <w:numId w:val="1006"/>
        </w:numPr>
      </w:pPr>
      <w:r>
        <w:t xml:space="preserve">Core organic growth improves more than expected despite the property-heavy quarter.</w:t>
      </w:r>
    </w:p>
    <w:p>
      <w:pPr>
        <w:pStyle w:val="Compact"/>
        <w:numPr>
          <w:ilvl w:val="0"/>
          <w:numId w:val="1006"/>
        </w:numPr>
      </w:pPr>
      <w:r>
        <w:t xml:space="preserve">Specialty Distribution grows above the company’s “relatively flat” ex-contingent expectation.</w:t>
      </w:r>
    </w:p>
    <w:p>
      <w:pPr>
        <w:pStyle w:val="Compact"/>
        <w:numPr>
          <w:ilvl w:val="0"/>
          <w:numId w:val="1006"/>
        </w:numPr>
      </w:pPr>
      <w:r>
        <w:t xml:space="preserve">Contingents remain robust without relying heavily on prior-period true-ups.</w:t>
      </w:r>
    </w:p>
    <w:p>
      <w:pPr>
        <w:pStyle w:val="Compact"/>
        <w:numPr>
          <w:ilvl w:val="0"/>
          <w:numId w:val="1006"/>
        </w:numPr>
      </w:pPr>
      <w:r>
        <w:t xml:space="preserve">Accession margins, synergy realization, and employee retention show early upside.</w:t>
      </w:r>
    </w:p>
    <w:p>
      <w:pPr>
        <w:pStyle w:val="Compact"/>
        <w:numPr>
          <w:ilvl w:val="0"/>
          <w:numId w:val="1006"/>
        </w:numPr>
      </w:pPr>
      <w:r>
        <w:t xml:space="preserve">Retail sales activity and net-new-business trends validate management’s second-half improvement thesis.</w:t>
      </w:r>
    </w:p>
    <w:p>
      <w:pPr>
        <w:pStyle w:val="Compact"/>
        <w:numPr>
          <w:ilvl w:val="0"/>
          <w:numId w:val="1006"/>
        </w:numPr>
      </w:pPr>
      <w:r>
        <w:t xml:space="preserve">Management reiterates—or strengthens—its view that quarterly organic growth should improve through 2026.</w:t>
      </w:r>
    </w:p>
    <w:bookmarkEnd w:id="18"/>
    <w:bookmarkStart w:id="19" w:name="what-could-drive-a-downside-reaction"/>
    <w:p>
      <w:pPr>
        <w:pStyle w:val="Heading2"/>
      </w:pPr>
      <w:r>
        <w:t xml:space="preserve">What could drive a downside reaction</w:t>
      </w:r>
    </w:p>
    <w:p>
      <w:pPr>
        <w:pStyle w:val="Compact"/>
        <w:numPr>
          <w:ilvl w:val="0"/>
          <w:numId w:val="1007"/>
        </w:numPr>
      </w:pPr>
      <w:r>
        <w:t xml:space="preserve">CAT-property rate declines intensify, depressing Specialty Distribution organic growth below the already-muted setup.</w:t>
      </w:r>
    </w:p>
    <w:p>
      <w:pPr>
        <w:pStyle w:val="Compact"/>
        <w:numPr>
          <w:ilvl w:val="0"/>
          <w:numId w:val="1007"/>
        </w:numPr>
      </w:pPr>
      <w:r>
        <w:t xml:space="preserve">Strong 1Q contingents prove non-repeatable, exposing weaker underlying revenue trends.</w:t>
      </w:r>
    </w:p>
    <w:p>
      <w:pPr>
        <w:pStyle w:val="Compact"/>
        <w:numPr>
          <w:ilvl w:val="0"/>
          <w:numId w:val="1007"/>
        </w:numPr>
      </w:pPr>
      <w:r>
        <w:t xml:space="preserve">Retail’s pharmacy revenue-model conversion or competitive/litigation disruption creates a larger-than-expected drag.</w:t>
      </w:r>
    </w:p>
    <w:p>
      <w:pPr>
        <w:pStyle w:val="Compact"/>
        <w:numPr>
          <w:ilvl w:val="0"/>
          <w:numId w:val="1007"/>
        </w:numPr>
      </w:pPr>
      <w:r>
        <w:t xml:space="preserve">Accession integration costs, margin dilution, or producer-retention concerns persist.</w:t>
      </w:r>
    </w:p>
    <w:p>
      <w:pPr>
        <w:pStyle w:val="Compact"/>
        <w:numPr>
          <w:ilvl w:val="0"/>
          <w:numId w:val="1007"/>
        </w:numPr>
      </w:pPr>
      <w:r>
        <w:t xml:space="preserve">Interest expense, tax rate, or share-count dilution reduce adjusted EPS conversion more than investors expect.</w:t>
      </w:r>
    </w:p>
    <w:p>
      <w:pPr>
        <w:pStyle w:val="Compact"/>
        <w:numPr>
          <w:ilvl w:val="0"/>
          <w:numId w:val="1007"/>
        </w:numPr>
      </w:pPr>
      <w:r>
        <w:t xml:space="preserve">Management becomes more cautious on second-half organic growth, property pricing, or synergy timing.</w:t>
      </w:r>
    </w:p>
    <w:bookmarkEnd w:id="19"/>
    <w:bookmarkStart w:id="20" w:name="bottom-line"/>
    <w:p>
      <w:pPr>
        <w:pStyle w:val="Heading2"/>
      </w:pPr>
      <w:r>
        <w:t xml:space="preserve">Bottom line</w:t>
      </w:r>
    </w:p>
    <w:p>
      <w:pPr>
        <w:pStyle w:val="FirstParagraph"/>
      </w:pPr>
      <w:r>
        <w:t xml:space="preserve">BRO’s 2Q report is likely to be judged primarily on</w:t>
      </w:r>
      <w:r>
        <w:t xml:space="preserve"> </w:t>
      </w:r>
      <w:r>
        <w:rPr>
          <w:b/>
          <w:bCs/>
        </w:rPr>
        <w:t xml:space="preserve">organic trajectory and earnings quality</w:t>
      </w:r>
      <w:r>
        <w:t xml:space="preserve">, not reported growth. The company has positioned 2Q as a period of meaningful CAT-property pressure, so merely meeting headline revenue and EPS expectations may not be enough. A constructive result would show stable Specialty Distribution performance, sustained contingent commissions, retail improvement despite known headwinds, and tangible evidence that Accession is moving from a source of complexity toward a source of earnings and diversification.</w:t>
      </w:r>
    </w:p>
    <w:p>
      <w:pPr>
        <w:pStyle w:val="BodyText"/>
      </w:pPr>
      <w:r>
        <w:t xml:space="preserve">The stock closed at</w:t>
      </w:r>
      <w:r>
        <w:t xml:space="preserve"> </w:t>
      </w:r>
      <w:r>
        <w:rPr>
          <w:b/>
          <w:bCs/>
        </w:rPr>
        <w:t xml:space="preserve">$67.68 on Friday, July 24, 2026</w:t>
      </w:r>
      <w:r>
        <w:t xml:space="preserve">, down about</w:t>
      </w:r>
      <w:r>
        <w:t xml:space="preserve"> </w:t>
      </w:r>
      <w:r>
        <w:rPr>
          <w:b/>
          <w:bCs/>
        </w:rPr>
        <w:t xml:space="preserve">15%</w:t>
      </w:r>
      <w:r>
        <w:t xml:space="preserve"> </w:t>
      </w:r>
      <w:r>
        <w:t xml:space="preserve">from its December 31, 2025 close but up roughly</w:t>
      </w:r>
      <w:r>
        <w:t xml:space="preserve"> </w:t>
      </w:r>
      <w:r>
        <w:rPr>
          <w:b/>
          <w:bCs/>
        </w:rPr>
        <w:t xml:space="preserve">20%</w:t>
      </w:r>
      <w:r>
        <w:t xml:space="preserve"> </w:t>
      </w:r>
      <w:r>
        <w:t xml:space="preserve">from its late-May low. That recovery suggests the market may be looking for confirmation that 1Q’s weak core organic growth represented a cyclical/property-driven trough rather than a more persistent franchise-level slowdown.</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2026-07-27T00:10:14Z</dcterms:created>
  <dcterms:modified xsi:type="dcterms:W3CDTF">2026-07-27T00:10:14Z</dcterms:modified>
</cp:coreProperties>
</file>

<file path=docProps/custom.xml><?xml version="1.0" encoding="utf-8"?>
<Properties xmlns="http://schemas.openxmlformats.org/officeDocument/2006/custom-properties" xmlns:vt="http://schemas.openxmlformats.org/officeDocument/2006/docPropsVTypes"/>
</file>