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Brown &amp; Brown, Inc. (BRO)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Brown &amp; Brown, Inc.</w:t>
            </w:r>
          </w:p>
        </w:tc>
        <w:tc>
          <w:tcPr>
            <w:tcW w:type="dxa" w:w="2160"/>
          </w:tcPr>
          <w:p>
            <w:r>
              <w:rPr>
                <w:rFonts w:ascii="Calibri" w:hAnsi="Calibri"/>
                <w:b/>
                <w:sz w:val="22"/>
              </w:rPr>
              <w:t>Earnings Date</w:t>
            </w:r>
          </w:p>
        </w:tc>
        <w:tc>
          <w:tcPr>
            <w:tcW w:type="dxa" w:w="2160"/>
          </w:tcPr>
          <w:p>
            <w:r>
              <w:rPr>
                <w:rFonts w:ascii="Calibri" w:hAnsi="Calibri"/>
                <w:sz w:val="22"/>
              </w:rPr>
              <w:t>July 28, 2026</w:t>
            </w:r>
          </w:p>
        </w:tc>
      </w:tr>
      <w:tr>
        <w:tc>
          <w:tcPr>
            <w:tcW w:type="dxa" w:w="2160"/>
          </w:tcPr>
          <w:p>
            <w:r>
              <w:rPr>
                <w:rFonts w:ascii="Calibri" w:hAnsi="Calibri"/>
                <w:b/>
                <w:sz w:val="22"/>
              </w:rPr>
              <w:t>Ticker</w:t>
            </w:r>
          </w:p>
        </w:tc>
        <w:tc>
          <w:tcPr>
            <w:tcW w:type="dxa" w:w="2160"/>
          </w:tcPr>
          <w:p>
            <w:r>
              <w:rPr>
                <w:rFonts w:ascii="Calibri" w:hAnsi="Calibri"/>
                <w:sz w:val="22"/>
              </w:rPr>
              <w:t>BRO US</w:t>
            </w:r>
          </w:p>
        </w:tc>
        <w:tc>
          <w:tcPr>
            <w:tcW w:type="dxa" w:w="2160"/>
          </w:tcPr>
          <w:p>
            <w:r>
              <w:rPr>
                <w:rFonts w:ascii="Calibri" w:hAnsi="Calibri"/>
                <w:b/>
                <w:sz w:val="22"/>
              </w:rPr>
              <w:t>Prepared</w:t>
            </w:r>
          </w:p>
        </w:tc>
        <w:tc>
          <w:tcPr>
            <w:tcW w:type="dxa" w:w="2160"/>
          </w:tcPr>
          <w:p>
            <w:r>
              <w:rPr>
                <w:rFonts w:ascii="Calibri" w:hAnsi="Calibri"/>
                <w:sz w:val="22"/>
              </w:rPr>
              <w:t>July 26,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KIE (SPDR S&amp;P Insurance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cautiously constructive — consensus is a manageable bar, contingent commissions remain a meaningful tailwind, but organic growth headwinds (pharmacy model transition, Howden litigation drag, CAT property rate pressure) keep the risk/reward balanced rather than clearly skewed to a beat.</w:t>
      </w:r>
    </w:p>
    <w:p>
      <w:r>
        <w:rPr>
          <w:rFonts w:ascii="Calibri" w:hAnsi="Calibri"/>
          <w:color w:val="525866"/>
          <w:sz w:val="22"/>
        </w:rPr>
        <w:t xml:space="preserve">Heading into Q2 2026, BRO faces a consensus bar that appears achievable but not easy. Adjusted EPS consensus sits at ~$1.08 (vs. $1.03 actual in Q2 2025), implying modest year-over-year growth, while total revenue consensus of ~$1.72B reflects the Accession acquisition contribution alongside continued organic headwinds. Management's tone on the Q1 2026 call was constructive — they guided for </w:t>
      </w:r>
      <w:r>
        <w:rPr>
          <w:rFonts w:ascii="Calibri" w:hAnsi="Calibri"/>
          <w:i/>
          <w:color w:val="525866"/>
          <w:sz w:val="22"/>
        </w:rPr>
        <w:t>"modest organic growth improvement each quarter this year"</w:t>
      </w:r>
      <w:r>
        <w:rPr>
          <w:rFonts w:ascii="Calibri" w:hAnsi="Calibri"/>
          <w:color w:val="525866"/>
          <w:sz w:val="22"/>
        </w:rPr>
        <w:t xml:space="preserve"> and explicitly reversed prior guidance on contingent commissions from a modest decline to an increase above 2025 levels (~$255M), a meaningful positive surprise that should provide a cushion in Q2. Estimate revisions have drifted modestly lower since the Q1 print (2Q26 EPS consensus slipped from ~$1.08 to ~$1.08, essentially flat), suggesting the Street has largely digested the known headwinds without further downward pressure. The stock has recovered ~2.4% since the Q1 earnings date (April 27) but meaningfully underperformed the KIE ETF (+11.0%) and the S&amp;P 500 (+3.3%), indicating the market has not yet priced in a beat and the multiple remains compressed relative to historical levels (NTM P/E ~18.6x vs. ~24x a year ago). The key wildcard is the trajectory of CAT property rates — management flagged Q2 would see continued pressure "similar to Q1" (most placements down 15–35%), and any acceleration in rate declines or further Howden-related revenue attrition could weigh on Specialty Distribution organic growth and pressure the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modest bar on revenue and EPS; the bigger swing factor is whether contingent commissions continue to outperform and whether organic growth (ex-contingents) shows the sequential improvement management guided. Adjusted EBITDAC margin is the secondary watch item.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Adjusted EPS ($)</w:t>
            </w:r>
          </w:p>
        </w:tc>
        <w:tc>
          <w:tcPr>
            <w:tcW w:type="dxa" w:w="1234"/>
          </w:tcPr>
          <w:p>
            <w:r>
              <w:rPr>
                <w:rFonts w:ascii="Calibri" w:hAnsi="Calibri"/>
                <w:sz w:val="22"/>
              </w:rPr>
              <w:t>$1.39</w:t>
            </w:r>
          </w:p>
        </w:tc>
        <w:tc>
          <w:tcPr>
            <w:tcW w:type="dxa" w:w="1234"/>
          </w:tcPr>
          <w:p>
            <w:r>
              <w:rPr>
                <w:rFonts w:ascii="Calibri" w:hAnsi="Calibri"/>
                <w:sz w:val="22"/>
              </w:rPr>
              <w:t>$1.03</w:t>
            </w:r>
          </w:p>
        </w:tc>
        <w:tc>
          <w:tcPr>
            <w:tcW w:type="dxa" w:w="1234"/>
          </w:tcPr>
          <w:p>
            <w:r>
              <w:rPr>
                <w:rFonts w:ascii="Calibri" w:hAnsi="Calibri"/>
                <w:sz w:val="22"/>
              </w:rPr>
              <w:t>$1.08</w:t>
            </w:r>
          </w:p>
        </w:tc>
        <w:tc>
          <w:tcPr>
            <w:tcW w:type="dxa" w:w="1234"/>
          </w:tcPr>
          <w:p>
            <w:r>
              <w:rPr>
                <w:rFonts w:ascii="Calibri" w:hAnsi="Calibri"/>
                <w:sz w:val="22"/>
              </w:rPr>
              <w:t>+4.9%</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Revenues ($M)</w:t>
            </w:r>
          </w:p>
        </w:tc>
        <w:tc>
          <w:tcPr>
            <w:tcW w:type="dxa" w:w="1234"/>
          </w:tcPr>
          <w:p>
            <w:r>
              <w:rPr>
                <w:rFonts w:ascii="Calibri" w:hAnsi="Calibri"/>
                <w:sz w:val="22"/>
              </w:rPr>
              <w:t>$1,901M</w:t>
            </w:r>
          </w:p>
        </w:tc>
        <w:tc>
          <w:tcPr>
            <w:tcW w:type="dxa" w:w="1234"/>
          </w:tcPr>
          <w:p>
            <w:r>
              <w:rPr>
                <w:rFonts w:ascii="Calibri" w:hAnsi="Calibri"/>
                <w:sz w:val="22"/>
              </w:rPr>
              <w:t>$1,285M</w:t>
            </w:r>
          </w:p>
        </w:tc>
        <w:tc>
          <w:tcPr>
            <w:tcW w:type="dxa" w:w="1234"/>
          </w:tcPr>
          <w:p>
            <w:r>
              <w:rPr>
                <w:rFonts w:ascii="Calibri" w:hAnsi="Calibri"/>
                <w:sz w:val="22"/>
              </w:rPr>
              <w:t>$1,719M</w:t>
            </w:r>
          </w:p>
        </w:tc>
        <w:tc>
          <w:tcPr>
            <w:tcW w:type="dxa" w:w="1234"/>
          </w:tcPr>
          <w:p>
            <w:r>
              <w:rPr>
                <w:rFonts w:ascii="Calibri" w:hAnsi="Calibri"/>
                <w:sz w:val="22"/>
              </w:rPr>
              <w:t>+33.8%</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Organic Revenue ($M)</w:t>
            </w:r>
          </w:p>
        </w:tc>
        <w:tc>
          <w:tcPr>
            <w:tcW w:type="dxa" w:w="1234"/>
          </w:tcPr>
          <w:p>
            <w:r>
              <w:rPr>
                <w:rFonts w:ascii="Calibri" w:hAnsi="Calibri"/>
                <w:sz w:val="22"/>
              </w:rPr>
              <w:t>$1,348M</w:t>
            </w:r>
          </w:p>
        </w:tc>
        <w:tc>
          <w:tcPr>
            <w:tcW w:type="dxa" w:w="1234"/>
          </w:tcPr>
          <w:p>
            <w:r>
              <w:rPr>
                <w:rFonts w:ascii="Calibri" w:hAnsi="Calibri"/>
                <w:sz w:val="22"/>
              </w:rPr>
              <w:t>$1,162M</w:t>
            </w:r>
          </w:p>
        </w:tc>
        <w:tc>
          <w:tcPr>
            <w:tcW w:type="dxa" w:w="1234"/>
          </w:tcPr>
          <w:p>
            <w:r>
              <w:rPr>
                <w:rFonts w:ascii="Calibri" w:hAnsi="Calibri"/>
                <w:sz w:val="22"/>
              </w:rPr>
              <w:t>$1,202M</w:t>
            </w:r>
          </w:p>
        </w:tc>
        <w:tc>
          <w:tcPr>
            <w:tcW w:type="dxa" w:w="1234"/>
          </w:tcPr>
          <w:p>
            <w:r>
              <w:rPr>
                <w:rFonts w:ascii="Calibri" w:hAnsi="Calibri"/>
                <w:sz w:val="22"/>
              </w:rPr>
              <w:t>+3.4%</w:t>
            </w:r>
          </w:p>
        </w:tc>
        <w:tc>
          <w:tcPr>
            <w:tcW w:type="dxa" w:w="1234"/>
          </w:tcPr>
          <w:p>
            <w:r>
              <w:rPr>
                <w:rFonts w:ascii="Calibri" w:hAnsi="Calibri"/>
                <w:sz w:val="22"/>
              </w:rPr>
              <w:t>Modest improvement vs. Q1 (0.0% ex-contingents)</w:t>
            </w:r>
          </w:p>
        </w:tc>
        <w:tc>
          <w:tcPr>
            <w:tcW w:type="dxa" w:w="1234"/>
          </w:tcPr>
          <w:p>
            <w:r>
              <w:rPr>
                <w:rFonts w:ascii="Calibri" w:hAnsi="Calibri"/>
                <w:sz w:val="22"/>
              </w:rPr>
              <w:t>N/A</w:t>
            </w:r>
          </w:p>
        </w:tc>
      </w:tr>
      <w:tr>
        <w:tc>
          <w:tcPr>
            <w:tcW w:type="dxa" w:w="1234"/>
          </w:tcPr>
          <w:p>
            <w:r>
              <w:rPr>
                <w:rFonts w:ascii="Calibri" w:hAnsi="Calibri"/>
                <w:sz w:val="22"/>
              </w:rPr>
              <w:t>Adj. EBITDAC ($M)</w:t>
            </w:r>
          </w:p>
        </w:tc>
        <w:tc>
          <w:tcPr>
            <w:tcW w:type="dxa" w:w="1234"/>
          </w:tcPr>
          <w:p>
            <w:r>
              <w:rPr>
                <w:rFonts w:ascii="Calibri" w:hAnsi="Calibri"/>
                <w:sz w:val="22"/>
              </w:rPr>
              <w:t>$731M</w:t>
            </w:r>
          </w:p>
        </w:tc>
        <w:tc>
          <w:tcPr>
            <w:tcW w:type="dxa" w:w="1234"/>
          </w:tcPr>
          <w:p>
            <w:r>
              <w:rPr>
                <w:rFonts w:ascii="Calibri" w:hAnsi="Calibri"/>
                <w:sz w:val="22"/>
              </w:rPr>
              <w:t>$471M</w:t>
            </w:r>
          </w:p>
        </w:tc>
        <w:tc>
          <w:tcPr>
            <w:tcW w:type="dxa" w:w="1234"/>
          </w:tcPr>
          <w:p>
            <w:r>
              <w:rPr>
                <w:rFonts w:ascii="Calibri" w:hAnsi="Calibri"/>
                <w:sz w:val="22"/>
              </w:rPr>
              <w:t>$601M</w:t>
            </w:r>
          </w:p>
        </w:tc>
        <w:tc>
          <w:tcPr>
            <w:tcW w:type="dxa" w:w="1234"/>
          </w:tcPr>
          <w:p>
            <w:r>
              <w:rPr>
                <w:rFonts w:ascii="Calibri" w:hAnsi="Calibri"/>
                <w:sz w:val="22"/>
              </w:rPr>
              <w:t>+27.6%</w:t>
            </w:r>
          </w:p>
        </w:tc>
        <w:tc>
          <w:tcPr>
            <w:tcW w:type="dxa" w:w="1234"/>
          </w:tcPr>
          <w:p>
            <w:r>
              <w:rPr>
                <w:rFonts w:ascii="Calibri" w:hAnsi="Calibri"/>
                <w:sz w:val="22"/>
              </w:rPr>
              <w:t>Accession EBITDAC margins ~35% for FY2026</w:t>
            </w:r>
          </w:p>
        </w:tc>
        <w:tc>
          <w:tcPr>
            <w:tcW w:type="dxa" w:w="1234"/>
          </w:tcPr>
          <w:p>
            <w:r>
              <w:rPr>
                <w:rFonts w:ascii="Calibri" w:hAnsi="Calibri"/>
                <w:sz w:val="22"/>
              </w:rPr>
              <w:t>N/A</w:t>
            </w:r>
          </w:p>
        </w:tc>
      </w:tr>
      <w:tr>
        <w:tc>
          <w:tcPr>
            <w:tcW w:type="dxa" w:w="1234"/>
          </w:tcPr>
          <w:p>
            <w:r>
              <w:rPr>
                <w:rFonts w:ascii="Calibri" w:hAnsi="Calibri"/>
                <w:sz w:val="22"/>
              </w:rPr>
              <w:t>Adj. EBITDAC Margin (%)</w:t>
            </w:r>
          </w:p>
        </w:tc>
        <w:tc>
          <w:tcPr>
            <w:tcW w:type="dxa" w:w="1234"/>
          </w:tcPr>
          <w:p>
            <w:r>
              <w:rPr>
                <w:rFonts w:ascii="Calibri" w:hAnsi="Calibri"/>
                <w:sz w:val="22"/>
              </w:rPr>
              <w:t>38.5%</w:t>
            </w:r>
          </w:p>
        </w:tc>
        <w:tc>
          <w:tcPr>
            <w:tcW w:type="dxa" w:w="1234"/>
          </w:tcPr>
          <w:p>
            <w:r>
              <w:rPr>
                <w:rFonts w:ascii="Calibri" w:hAnsi="Calibri"/>
                <w:sz w:val="22"/>
              </w:rPr>
              <w:t>36.7%</w:t>
            </w:r>
          </w:p>
        </w:tc>
        <w:tc>
          <w:tcPr>
            <w:tcW w:type="dxa" w:w="1234"/>
          </w:tcPr>
          <w:p>
            <w:r>
              <w:rPr>
                <w:rFonts w:ascii="Calibri" w:hAnsi="Calibri"/>
                <w:sz w:val="22"/>
              </w:rPr>
              <w:t>35.0%</w:t>
            </w:r>
          </w:p>
        </w:tc>
        <w:tc>
          <w:tcPr>
            <w:tcW w:type="dxa" w:w="1234"/>
          </w:tcPr>
          <w:p>
            <w:r>
              <w:rPr>
                <w:rFonts w:ascii="Calibri" w:hAnsi="Calibri"/>
                <w:sz w:val="22"/>
              </w:rPr>
              <w:t>-167 bps YoY</w:t>
            </w:r>
          </w:p>
        </w:tc>
        <w:tc>
          <w:tcPr>
            <w:tcW w:type="dxa" w:w="1234"/>
          </w:tcPr>
          <w:p>
            <w:r>
              <w:rPr>
                <w:rFonts w:ascii="Calibri" w:hAnsi="Calibri"/>
                <w:sz w:val="22"/>
              </w:rPr>
              <w:t>LT target 32–37%</w:t>
            </w:r>
          </w:p>
        </w:tc>
        <w:tc>
          <w:tcPr>
            <w:tcW w:type="dxa" w:w="1234"/>
          </w:tcPr>
          <w:p>
            <w:r>
              <w:rPr>
                <w:rFonts w:ascii="Calibri" w:hAnsi="Calibri"/>
                <w:sz w:val="22"/>
              </w:rPr>
              <w:t>Within range</w:t>
            </w:r>
          </w:p>
        </w:tc>
      </w:tr>
    </w:tbl>
    <w:p>
      <w:r>
        <w:rPr>
          <w:rFonts w:ascii="Calibri" w:hAnsi="Calibri"/>
          <w:i/>
          <w:color w:val="525866"/>
          <w:sz w:val="22"/>
        </w:rPr>
        <w:t>Source: Visible Alpha Consensus and Actuals Data. All consensus figures as of July 24, 2026. Q1 2026 actuals from BRO Q1 2026 Earnings Release (April 27, 2026). YoY change calculated vs. Q2 2025 actuals.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$1.39</w:t>
            </w:r>
          </w:p>
        </w:tc>
        <w:tc>
          <w:tcPr>
            <w:tcW w:type="dxa" w:w="1728"/>
          </w:tcPr>
          <w:p>
            <w:r>
              <w:rPr>
                <w:rFonts w:ascii="Calibri" w:hAnsi="Calibri"/>
                <w:sz w:val="22"/>
              </w:rPr>
              <w:t>$1.36</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$0.93</w:t>
            </w:r>
          </w:p>
        </w:tc>
        <w:tc>
          <w:tcPr>
            <w:tcW w:type="dxa" w:w="1728"/>
          </w:tcPr>
          <w:p>
            <w:r>
              <w:rPr>
                <w:rFonts w:ascii="Calibri" w:hAnsi="Calibri"/>
                <w:sz w:val="22"/>
              </w:rPr>
              <w:t>$0.88</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$1.05</w:t>
            </w:r>
          </w:p>
        </w:tc>
        <w:tc>
          <w:tcPr>
            <w:tcW w:type="dxa" w:w="1728"/>
          </w:tcPr>
          <w:p>
            <w:r>
              <w:rPr>
                <w:rFonts w:ascii="Calibri" w:hAnsi="Calibri"/>
                <w:sz w:val="22"/>
              </w:rPr>
              <w:t>$0.89</w:t>
            </w:r>
          </w:p>
        </w:tc>
        <w:tc>
          <w:tcPr>
            <w:tcW w:type="dxa" w:w="1728"/>
          </w:tcPr>
          <w:p>
            <w:r>
              <w:rPr>
                <w:rFonts w:ascii="Calibri" w:hAnsi="Calibri"/>
                <w:b/>
                <w:color w:val="30A46C"/>
                <w:sz w:val="22"/>
              </w:rPr>
              <w:t>+17.9%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$1.03</w:t>
            </w:r>
          </w:p>
        </w:tc>
        <w:tc>
          <w:tcPr>
            <w:tcW w:type="dxa" w:w="1728"/>
          </w:tcPr>
          <w:p>
            <w:r>
              <w:rPr>
                <w:rFonts w:ascii="Calibri" w:hAnsi="Calibri"/>
                <w:sz w:val="22"/>
              </w:rPr>
              <w:t>$0.95</w:t>
            </w:r>
          </w:p>
        </w:tc>
        <w:tc>
          <w:tcPr>
            <w:tcW w:type="dxa" w:w="1728"/>
          </w:tcPr>
          <w:p>
            <w:r>
              <w:rPr>
                <w:rFonts w:ascii="Calibri" w:hAnsi="Calibri"/>
                <w:b/>
                <w:color w:val="30A46C"/>
                <w:sz w:val="22"/>
              </w:rPr>
              <w:t>+8.4%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$1.29</w:t>
            </w:r>
          </w:p>
        </w:tc>
        <w:tc>
          <w:tcPr>
            <w:tcW w:type="dxa" w:w="1728"/>
          </w:tcPr>
          <w:p>
            <w:r>
              <w:rPr>
                <w:rFonts w:ascii="Calibri" w:hAnsi="Calibri"/>
                <w:sz w:val="22"/>
              </w:rPr>
              <w:t>$1.26</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$0.87</w:t>
            </w:r>
          </w:p>
        </w:tc>
        <w:tc>
          <w:tcPr>
            <w:tcW w:type="dxa" w:w="1728"/>
          </w:tcPr>
          <w:p>
            <w:r>
              <w:rPr>
                <w:rFonts w:ascii="Calibri" w:hAnsi="Calibri"/>
                <w:sz w:val="22"/>
              </w:rPr>
              <w:t>$0.74</w:t>
            </w:r>
          </w:p>
        </w:tc>
        <w:tc>
          <w:tcPr>
            <w:tcW w:type="dxa" w:w="1728"/>
          </w:tcPr>
          <w:p>
            <w:r>
              <w:rPr>
                <w:rFonts w:ascii="Calibri" w:hAnsi="Calibri"/>
                <w:b/>
                <w:color w:val="30A46C"/>
                <w:sz w:val="22"/>
              </w:rPr>
              <w:t>+17.6%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$0.91</w:t>
            </w:r>
          </w:p>
        </w:tc>
        <w:tc>
          <w:tcPr>
            <w:tcW w:type="dxa" w:w="1728"/>
          </w:tcPr>
          <w:p>
            <w:r>
              <w:rPr>
                <w:rFonts w:ascii="Calibri" w:hAnsi="Calibri"/>
                <w:sz w:val="22"/>
              </w:rPr>
              <w:t>$0.85</w:t>
            </w:r>
          </w:p>
        </w:tc>
        <w:tc>
          <w:tcPr>
            <w:tcW w:type="dxa" w:w="1728"/>
          </w:tcPr>
          <w:p>
            <w:r>
              <w:rPr>
                <w:rFonts w:ascii="Calibri" w:hAnsi="Calibri"/>
                <w:b/>
                <w:color w:val="30A46C"/>
                <w:sz w:val="22"/>
              </w:rPr>
              <w:t>+7.1%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$0.93</w:t>
            </w:r>
          </w:p>
        </w:tc>
        <w:tc>
          <w:tcPr>
            <w:tcW w:type="dxa" w:w="1728"/>
          </w:tcPr>
          <w:p>
            <w:r>
              <w:rPr>
                <w:rFonts w:ascii="Calibri" w:hAnsi="Calibri"/>
                <w:sz w:val="22"/>
              </w:rPr>
              <w:t>$0.84</w:t>
            </w:r>
          </w:p>
        </w:tc>
        <w:tc>
          <w:tcPr>
            <w:tcW w:type="dxa" w:w="1728"/>
          </w:tcPr>
          <w:p>
            <w:r>
              <w:rPr>
                <w:rFonts w:ascii="Calibri" w:hAnsi="Calibri"/>
                <w:b/>
                <w:color w:val="30A46C"/>
                <w:sz w:val="22"/>
              </w:rPr>
              <w:t>+10.7%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Total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$1,901M</w:t>
            </w:r>
          </w:p>
        </w:tc>
        <w:tc>
          <w:tcPr>
            <w:tcW w:type="dxa" w:w="1728"/>
          </w:tcPr>
          <w:p>
            <w:r>
              <w:rPr>
                <w:rFonts w:ascii="Calibri" w:hAnsi="Calibri"/>
                <w:sz w:val="22"/>
              </w:rPr>
              <w:t>$1,892M</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$1,607M</w:t>
            </w:r>
          </w:p>
        </w:tc>
        <w:tc>
          <w:tcPr>
            <w:tcW w:type="dxa" w:w="1728"/>
          </w:tcPr>
          <w:p>
            <w:r>
              <w:rPr>
                <w:rFonts w:ascii="Calibri" w:hAnsi="Calibri"/>
                <w:sz w:val="22"/>
              </w:rPr>
              <w:t>$1,644M</w:t>
            </w:r>
          </w:p>
        </w:tc>
        <w:tc>
          <w:tcPr>
            <w:tcW w:type="dxa" w:w="1728"/>
          </w:tcPr>
          <w:p>
            <w:r>
              <w:rPr>
                <w:rFonts w:ascii="Calibri" w:hAnsi="Calibri"/>
                <w:b/>
                <w:color w:val="E5484D"/>
                <w:sz w:val="22"/>
              </w:rPr>
              <w:t>-2.3%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$1,606M</w:t>
            </w:r>
          </w:p>
        </w:tc>
        <w:tc>
          <w:tcPr>
            <w:tcW w:type="dxa" w:w="1728"/>
          </w:tcPr>
          <w:p>
            <w:r>
              <w:rPr>
                <w:rFonts w:ascii="Calibri" w:hAnsi="Calibri"/>
                <w:sz w:val="22"/>
              </w:rPr>
              <w:t>$1,545M</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$1,285M</w:t>
            </w:r>
          </w:p>
        </w:tc>
        <w:tc>
          <w:tcPr>
            <w:tcW w:type="dxa" w:w="1728"/>
          </w:tcPr>
          <w:p>
            <w:r>
              <w:rPr>
                <w:rFonts w:ascii="Calibri" w:hAnsi="Calibri"/>
                <w:sz w:val="22"/>
              </w:rPr>
              <w:t>$1,279M</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$1,404M</w:t>
            </w:r>
          </w:p>
        </w:tc>
        <w:tc>
          <w:tcPr>
            <w:tcW w:type="dxa" w:w="1728"/>
          </w:tcPr>
          <w:p>
            <w:r>
              <w:rPr>
                <w:rFonts w:ascii="Calibri" w:hAnsi="Calibri"/>
                <w:sz w:val="22"/>
              </w:rPr>
              <w:t>$1,412M</w:t>
            </w:r>
          </w:p>
        </w:tc>
        <w:tc>
          <w:tcPr>
            <w:tcW w:type="dxa" w:w="1728"/>
          </w:tcPr>
          <w:p>
            <w:r>
              <w:rPr>
                <w:rFonts w:ascii="Calibri" w:hAnsi="Calibri"/>
                <w:b/>
                <w:color w:val="E5484D"/>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$1,184M</w:t>
            </w:r>
          </w:p>
        </w:tc>
        <w:tc>
          <w:tcPr>
            <w:tcW w:type="dxa" w:w="1728"/>
          </w:tcPr>
          <w:p>
            <w:r>
              <w:rPr>
                <w:rFonts w:ascii="Calibri" w:hAnsi="Calibri"/>
                <w:sz w:val="22"/>
              </w:rPr>
              <w:t>$1,124M</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$1,186M</w:t>
            </w:r>
          </w:p>
        </w:tc>
        <w:tc>
          <w:tcPr>
            <w:tcW w:type="dxa" w:w="1728"/>
          </w:tcPr>
          <w:p>
            <w:r>
              <w:rPr>
                <w:rFonts w:ascii="Calibri" w:hAnsi="Calibri"/>
                <w:sz w:val="22"/>
              </w:rPr>
              <w:t>$1,166M</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$1,178M</w:t>
            </w:r>
          </w:p>
        </w:tc>
        <w:tc>
          <w:tcPr>
            <w:tcW w:type="dxa" w:w="1728"/>
          </w:tcPr>
          <w:p>
            <w:r>
              <w:rPr>
                <w:rFonts w:ascii="Calibri" w:hAnsi="Calibri"/>
                <w:sz w:val="22"/>
              </w:rPr>
              <w:t>$1,145M</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bl>
    <w:p>
      <w:r>
        <w:rPr>
          <w:rFonts w:ascii="Calibri" w:hAnsi="Calibri"/>
          <w:i/>
          <w:color w:val="525866"/>
          <w:sz w:val="22"/>
        </w:rPr>
        <w:t>BRO has beaten adjusted EPS consensus in all 8 of the last 8 quarters, with an average surprise of approximately +9%. Revenue beats are less consistent (6 of 8), with the Q4 2025 miss driven by Accession revenue phasing issues. The strong EPS beat track record supports a constructive setup, though the bar has been set higher following the Q1 2026 contingent commission upside.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shifted meaningfully positive on contingent commissions at Q1 2026 (reversing prior guidance of a modest decline to now expecting full-year contingents above 2025 levels), while organic growth guidance remains cautiously constructive with sequential improvement expected each quarter. No post-earnings guidance revisions have been disclosed.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Revenue Growth (ex-contingents)</w:t>
            </w:r>
          </w:p>
        </w:tc>
        <w:tc>
          <w:tcPr>
            <w:tcW w:type="dxa" w:w="1728"/>
          </w:tcPr>
          <w:p>
            <w:r>
              <w:rPr>
                <w:rFonts w:ascii="Calibri" w:hAnsi="Calibri"/>
                <w:sz w:val="22"/>
              </w:rPr>
              <w:t>Modest improvement each quarter vs. Q1 (0.0%); upper bound ~2.5% by year-end</w:t>
            </w:r>
          </w:p>
        </w:tc>
        <w:tc>
          <w:tcPr>
            <w:tcW w:type="dxa" w:w="1728"/>
          </w:tcPr>
          <w:p>
            <w:r>
              <w:rPr>
                <w:rFonts w:ascii="Calibri" w:hAnsi="Calibri"/>
                <w:sz w:val="22"/>
              </w:rPr>
              <w:t>—</w:t>
            </w:r>
          </w:p>
        </w:tc>
        <w:tc>
          <w:tcPr>
            <w:tcW w:type="dxa" w:w="1728"/>
          </w:tcPr>
          <w:p>
            <w:r>
              <w:rPr>
                <w:rFonts w:ascii="Calibri" w:hAnsi="Calibri"/>
                <w:sz w:val="22"/>
              </w:rPr>
              <w:t>~3.4% YoY on total organic basis (incl. Accession)</w:t>
            </w:r>
          </w:p>
        </w:tc>
        <w:tc>
          <w:tcPr>
            <w:tcW w:type="dxa" w:w="1728"/>
          </w:tcPr>
          <w:p>
            <w:r>
              <w:rPr>
                <w:rFonts w:ascii="Calibri" w:hAnsi="Calibri"/>
                <w:sz w:val="22"/>
              </w:rPr>
              <w:t>No post-earnings update; pharmacy model transition (-50 to -100 bps) and Howden drag (~$10M/qtr) remain headwinds</w:t>
            </w:r>
          </w:p>
        </w:tc>
      </w:tr>
      <w:tr>
        <w:tc>
          <w:tcPr>
            <w:tcW w:type="dxa" w:w="1728"/>
          </w:tcPr>
          <w:p>
            <w:r>
              <w:rPr>
                <w:rFonts w:ascii="Calibri" w:hAnsi="Calibri"/>
                <w:sz w:val="22"/>
              </w:rPr>
              <w:t>Contingent Commissions (FY2026)</w:t>
            </w:r>
          </w:p>
        </w:tc>
        <w:tc>
          <w:tcPr>
            <w:tcW w:type="dxa" w:w="1728"/>
          </w:tcPr>
          <w:p>
            <w:r>
              <w:rPr>
                <w:rFonts w:ascii="Calibri" w:hAnsi="Calibri"/>
                <w:sz w:val="22"/>
              </w:rPr>
              <w:t>Above FY2025 levels (~$255M); reversed prior guidance of modest decline</w:t>
            </w:r>
          </w:p>
        </w:tc>
        <w:tc>
          <w:tcPr>
            <w:tcW w:type="dxa" w:w="1728"/>
          </w:tcPr>
          <w:p>
            <w:r>
              <w:rPr>
                <w:rFonts w:ascii="Calibri" w:hAnsi="Calibri"/>
                <w:sz w:val="22"/>
              </w:rPr>
              <w:t>—</w:t>
            </w:r>
          </w:p>
        </w:tc>
        <w:tc>
          <w:tcPr>
            <w:tcW w:type="dxa" w:w="1728"/>
          </w:tcPr>
          <w:p>
            <w:r>
              <w:rPr>
                <w:rFonts w:ascii="Calibri" w:hAnsi="Calibri"/>
                <w:sz w:val="22"/>
              </w:rPr>
              <w:t>Embedded in FY2026 revenue consensus of ~$7.04B</w:t>
            </w:r>
          </w:p>
        </w:tc>
        <w:tc>
          <w:tcPr>
            <w:tcW w:type="dxa" w:w="1728"/>
          </w:tcPr>
          <w:p>
            <w:r>
              <w:rPr>
                <w:rFonts w:ascii="Calibri" w:hAnsi="Calibri"/>
                <w:sz w:val="22"/>
              </w:rPr>
              <w:t>↑ Raised at Q1 2026 earnings; favorable underwriting profitability driving upside; most contingents based on profitability metrics</w:t>
            </w:r>
          </w:p>
        </w:tc>
      </w:tr>
      <w:tr>
        <w:tc>
          <w:tcPr>
            <w:tcW w:type="dxa" w:w="1728"/>
          </w:tcPr>
          <w:p>
            <w:r>
              <w:rPr>
                <w:rFonts w:ascii="Calibri" w:hAnsi="Calibri"/>
                <w:sz w:val="22"/>
              </w:rPr>
              <w:t>CAT Property Rates (Q2 2026)</w:t>
            </w:r>
          </w:p>
        </w:tc>
        <w:tc>
          <w:tcPr>
            <w:tcW w:type="dxa" w:w="1728"/>
          </w:tcPr>
          <w:p>
            <w:r>
              <w:rPr>
                <w:rFonts w:ascii="Calibri" w:hAnsi="Calibri"/>
                <w:sz w:val="22"/>
              </w:rPr>
              <w:t>Continued pressure similar to Q1; most placements down 15–35%; carriers/MGAs may become more aggressive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Rates back to levels last seen ~10 years ago; headwind to Specialty Distribution organic growth</w:t>
            </w:r>
          </w:p>
        </w:tc>
      </w:tr>
      <w:tr>
        <w:tc>
          <w:tcPr>
            <w:tcW w:type="dxa" w:w="1728"/>
          </w:tcPr>
          <w:p>
            <w:r>
              <w:rPr>
                <w:rFonts w:ascii="Calibri" w:hAnsi="Calibri"/>
                <w:sz w:val="22"/>
              </w:rPr>
              <w:t>Adj. EBITDAC Margin (FY2026)</w:t>
            </w:r>
          </w:p>
        </w:tc>
        <w:tc>
          <w:tcPr>
            <w:tcW w:type="dxa" w:w="1728"/>
          </w:tcPr>
          <w:p>
            <w:r>
              <w:rPr>
                <w:rFonts w:ascii="Calibri" w:hAnsi="Calibri"/>
                <w:sz w:val="22"/>
              </w:rPr>
              <w:t>Accession EBITDAC margins ~35% for FY2026; LT target raised to 32–37%</w:t>
            </w:r>
          </w:p>
        </w:tc>
        <w:tc>
          <w:tcPr>
            <w:tcW w:type="dxa" w:w="1728"/>
          </w:tcPr>
          <w:p>
            <w:r>
              <w:rPr>
                <w:rFonts w:ascii="Calibri" w:hAnsi="Calibri"/>
                <w:sz w:val="22"/>
              </w:rPr>
              <w:t>—</w:t>
            </w:r>
          </w:p>
        </w:tc>
        <w:tc>
          <w:tcPr>
            <w:tcW w:type="dxa" w:w="1728"/>
          </w:tcPr>
          <w:p>
            <w:r>
              <w:rPr>
                <w:rFonts w:ascii="Calibri" w:hAnsi="Calibri"/>
                <w:sz w:val="22"/>
              </w:rPr>
              <w:t>~35.0% for Q2 2026; ~35.0% for FY2026</w:t>
            </w:r>
          </w:p>
        </w:tc>
        <w:tc>
          <w:tcPr>
            <w:tcW w:type="dxa" w:w="1728"/>
          </w:tcPr>
          <w:p>
            <w:r>
              <w:rPr>
                <w:rFonts w:ascii="Calibri" w:hAnsi="Calibri"/>
                <w:sz w:val="22"/>
              </w:rPr>
              <w:t>Near-term pressure from lower investment income; underlying margins expected flat to slightly up</w:t>
            </w:r>
          </w:p>
        </w:tc>
      </w:tr>
      <w:tr>
        <w:tc>
          <w:tcPr>
            <w:tcW w:type="dxa" w:w="1728"/>
          </w:tcPr>
          <w:p>
            <w:r>
              <w:rPr>
                <w:rFonts w:ascii="Calibri" w:hAnsi="Calibri"/>
                <w:sz w:val="22"/>
              </w:rPr>
              <w:t>Accession Synergies (FY2026)</w:t>
            </w:r>
          </w:p>
        </w:tc>
        <w:tc>
          <w:tcPr>
            <w:tcW w:type="dxa" w:w="1728"/>
          </w:tcPr>
          <w:p>
            <w:r>
              <w:rPr>
                <w:rFonts w:ascii="Calibri" w:hAnsi="Calibri"/>
                <w:sz w:val="22"/>
              </w:rPr>
              <w:t>$30–40M EBITDA synergies; integration on track; completion by end of 2028</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180 Accession businesses expected to contribute to Specialty Distribution organic growth in H2 2026</w:t>
            </w:r>
          </w:p>
        </w:tc>
      </w:tr>
      <w:tr>
        <w:tc>
          <w:tcPr>
            <w:tcW w:type="dxa" w:w="1728"/>
          </w:tcPr>
          <w:p>
            <w:r>
              <w:rPr>
                <w:rFonts w:ascii="Calibri" w:hAnsi="Calibri"/>
                <w:sz w:val="22"/>
              </w:rPr>
              <w:t>Pharmacy Revenue Model</w:t>
            </w:r>
          </w:p>
        </w:tc>
        <w:tc>
          <w:tcPr>
            <w:tcW w:type="dxa" w:w="1728"/>
          </w:tcPr>
          <w:p>
            <w:r>
              <w:rPr>
                <w:rFonts w:ascii="Calibri" w:hAnsi="Calibri"/>
                <w:sz w:val="22"/>
              </w:rPr>
              <w:t>Transitioning from volume-based to PEPM model; -50 to -100 bps drag on Retail organic growth for next several quarters; business expected to grow toward year-end</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New headwind disclosed at Q1 2026; not previously flagged; will weigh on Q2 Retail organic</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drifted modestly lower since the Q1 2026 print, with Q2 EPS slipping ~0.6% and FY2026 EPS down ~0.6%, suggesting the Street has absorbed the known headwinds without a material reset. The gap between current consensus and management's qualitative guidance is narrow, indicating estimates are broadly tracking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Print, ~May 4, 2026)</w:t>
            </w:r>
          </w:p>
        </w:tc>
        <w:tc>
          <w:tcPr>
            <w:tcW w:type="dxa" w:w="1080"/>
            <w:shd w:val="clear" w:color="auto" w:fill="3B4259"/>
          </w:tcPr>
          <w:p>
            <w:r>
              <w:rPr>
                <w:rFonts w:ascii="Calibri" w:hAnsi="Calibri"/>
                <w:b/>
                <w:color w:val="FFFFFF"/>
                <w:sz w:val="22"/>
              </w:rPr>
              <w:t>Current Consensus (Jul 24,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$1.083</w:t>
            </w:r>
          </w:p>
        </w:tc>
        <w:tc>
          <w:tcPr>
            <w:tcW w:type="dxa" w:w="1080"/>
          </w:tcPr>
          <w:p>
            <w:r>
              <w:rPr>
                <w:rFonts w:ascii="Calibri" w:hAnsi="Calibri"/>
                <w:sz w:val="22"/>
              </w:rPr>
              <w:t>$1.076</w:t>
            </w:r>
          </w:p>
        </w:tc>
        <w:tc>
          <w:tcPr>
            <w:tcW w:type="dxa" w:w="1080"/>
          </w:tcPr>
          <w:p>
            <w:r>
              <w:rPr>
                <w:rFonts w:ascii="Calibri" w:hAnsi="Calibri"/>
                <w:sz w:val="22"/>
              </w:rPr>
              <w:t>-0.6%</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$4.512</w:t>
            </w:r>
          </w:p>
        </w:tc>
        <w:tc>
          <w:tcPr>
            <w:tcW w:type="dxa" w:w="1080"/>
          </w:tcPr>
          <w:p>
            <w:r>
              <w:rPr>
                <w:rFonts w:ascii="Calibri" w:hAnsi="Calibri"/>
                <w:sz w:val="22"/>
              </w:rPr>
              <w:t>$4.485</w:t>
            </w:r>
          </w:p>
        </w:tc>
        <w:tc>
          <w:tcPr>
            <w:tcW w:type="dxa" w:w="1080"/>
          </w:tcPr>
          <w:p>
            <w:r>
              <w:rPr>
                <w:rFonts w:ascii="Calibri" w:hAnsi="Calibri"/>
                <w:sz w:val="22"/>
              </w:rPr>
              <w:t>-0.6%</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Revenues — Q2 2026</w:t>
            </w:r>
          </w:p>
        </w:tc>
        <w:tc>
          <w:tcPr>
            <w:tcW w:type="dxa" w:w="1080"/>
          </w:tcPr>
          <w:p>
            <w:r>
              <w:rPr>
                <w:rFonts w:ascii="Calibri" w:hAnsi="Calibri"/>
                <w:sz w:val="22"/>
              </w:rPr>
              <w:t>$1,726M</w:t>
            </w:r>
          </w:p>
        </w:tc>
        <w:tc>
          <w:tcPr>
            <w:tcW w:type="dxa" w:w="1080"/>
          </w:tcPr>
          <w:p>
            <w:r>
              <w:rPr>
                <w:rFonts w:ascii="Calibri" w:hAnsi="Calibri"/>
                <w:sz w:val="22"/>
              </w:rPr>
              <w:t>$1,719M</w:t>
            </w:r>
          </w:p>
        </w:tc>
        <w:tc>
          <w:tcPr>
            <w:tcW w:type="dxa" w:w="1080"/>
          </w:tcPr>
          <w:p>
            <w:r>
              <w:rPr>
                <w:rFonts w:ascii="Calibri" w:hAnsi="Calibri"/>
                <w:sz w:val="22"/>
              </w:rPr>
              <w:t>-0.4%</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Revenues — FY2026</w:t>
            </w:r>
          </w:p>
        </w:tc>
        <w:tc>
          <w:tcPr>
            <w:tcW w:type="dxa" w:w="1080"/>
          </w:tcPr>
          <w:p>
            <w:r>
              <w:rPr>
                <w:rFonts w:ascii="Calibri" w:hAnsi="Calibri"/>
                <w:sz w:val="22"/>
              </w:rPr>
              <w:t>$7,065M</w:t>
            </w:r>
          </w:p>
        </w:tc>
        <w:tc>
          <w:tcPr>
            <w:tcW w:type="dxa" w:w="1080"/>
          </w:tcPr>
          <w:p>
            <w:r>
              <w:rPr>
                <w:rFonts w:ascii="Calibri" w:hAnsi="Calibri"/>
                <w:sz w:val="22"/>
              </w:rPr>
              <w:t>$7,038M</w:t>
            </w:r>
          </w:p>
        </w:tc>
        <w:tc>
          <w:tcPr>
            <w:tcW w:type="dxa" w:w="1080"/>
          </w:tcPr>
          <w:p>
            <w:r>
              <w:rPr>
                <w:rFonts w:ascii="Calibri" w:hAnsi="Calibri"/>
                <w:sz w:val="22"/>
              </w:rPr>
              <w:t>-0.4%</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EBITDAC — Q2 2026</w:t>
            </w:r>
          </w:p>
        </w:tc>
        <w:tc>
          <w:tcPr>
            <w:tcW w:type="dxa" w:w="1080"/>
          </w:tcPr>
          <w:p>
            <w:r>
              <w:rPr>
                <w:rFonts w:ascii="Calibri" w:hAnsi="Calibri"/>
                <w:sz w:val="22"/>
              </w:rPr>
              <w:t>$609M</w:t>
            </w:r>
          </w:p>
        </w:tc>
        <w:tc>
          <w:tcPr>
            <w:tcW w:type="dxa" w:w="1080"/>
          </w:tcPr>
          <w:p>
            <w:r>
              <w:rPr>
                <w:rFonts w:ascii="Calibri" w:hAnsi="Calibri"/>
                <w:sz w:val="22"/>
              </w:rPr>
              <w:t>$601M</w:t>
            </w:r>
          </w:p>
        </w:tc>
        <w:tc>
          <w:tcPr>
            <w:tcW w:type="dxa" w:w="1080"/>
          </w:tcPr>
          <w:p>
            <w:r>
              <w:rPr>
                <w:rFonts w:ascii="Calibri" w:hAnsi="Calibri"/>
                <w:sz w:val="22"/>
              </w:rPr>
              <w:t>-1.2%</w:t>
            </w:r>
          </w:p>
        </w:tc>
        <w:tc>
          <w:tcPr>
            <w:tcW w:type="dxa" w:w="1080"/>
          </w:tcPr>
          <w:p>
            <w:r>
              <w:rPr>
                <w:rFonts w:ascii="Calibri" w:hAnsi="Calibri"/>
                <w:sz w:val="22"/>
              </w:rPr>
              <w:t>Accession margins ~35% FY2026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in line</w:t>
            </w:r>
          </w:p>
        </w:tc>
      </w:tr>
      <w:tr>
        <w:tc>
          <w:tcPr>
            <w:tcW w:type="dxa" w:w="1080"/>
          </w:tcPr>
          <w:p>
            <w:r>
              <w:rPr>
                <w:rFonts w:ascii="Calibri" w:hAnsi="Calibri"/>
                <w:sz w:val="22"/>
              </w:rPr>
              <w:t>Adj. EBITDAC — FY2026</w:t>
            </w:r>
          </w:p>
        </w:tc>
        <w:tc>
          <w:tcPr>
            <w:tcW w:type="dxa" w:w="1080"/>
          </w:tcPr>
          <w:p>
            <w:r>
              <w:rPr>
                <w:rFonts w:ascii="Calibri" w:hAnsi="Calibri"/>
                <w:sz w:val="22"/>
              </w:rPr>
              <w:t>$2,479M</w:t>
            </w:r>
          </w:p>
        </w:tc>
        <w:tc>
          <w:tcPr>
            <w:tcW w:type="dxa" w:w="1080"/>
          </w:tcPr>
          <w:p>
            <w:r>
              <w:rPr>
                <w:rFonts w:ascii="Calibri" w:hAnsi="Calibri"/>
                <w:sz w:val="22"/>
              </w:rPr>
              <w:t>$2,461M</w:t>
            </w:r>
          </w:p>
        </w:tc>
        <w:tc>
          <w:tcPr>
            <w:tcW w:type="dxa" w:w="1080"/>
          </w:tcPr>
          <w:p>
            <w:r>
              <w:rPr>
                <w:rFonts w:ascii="Calibri" w:hAnsi="Calibri"/>
                <w:sz w:val="22"/>
              </w:rPr>
              <w:t>-0.7%</w:t>
            </w:r>
          </w:p>
        </w:tc>
        <w:tc>
          <w:tcPr>
            <w:tcW w:type="dxa" w:w="1080"/>
          </w:tcPr>
          <w:p>
            <w:r>
              <w:rPr>
                <w:rFonts w:ascii="Calibri" w:hAnsi="Calibri"/>
                <w:sz w:val="22"/>
              </w:rPr>
              <w:t>LT target 32–37%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bl>
    <w:p>
      <w:r>
        <w:rPr>
          <w:rFonts w:ascii="Calibri" w:hAnsi="Calibri"/>
          <w:i/>
          <w:color w:val="525866"/>
          <w:sz w:val="22"/>
        </w:rPr>
        <w:t>Estimates have drifted modestly lower across all key metrics since the Q1 2026 print, but the magnitude of revision is small (-0.4% to -1.2%), suggesting the Street has largely absorbed the known headwinds (pharmacy model transition, Howden drag, CAT property rate pressure) without a material reset. The absence of specific quantitative guidance from management makes a direct consensus-vs.-guidance comparison difficult; however, the qualitative directional guidance (sequential organic improvement, contingents above 2025) appears broadly consistent with current consensus levels.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BRO has significantly underperformed both the KIE insurance ETF (+11.0%) and the S&amp;P 500 (+3.3%) since the Q1 2026 earnings date, with the stock up only +2.4% over the period. The underperformance is almost entirely multiple-driven — NTM EV/EBITDA has compressed from ~12.5x six months ago to ~10.9x today, reflecting market skepticism about organic growth recovery and Accession integration execution. The stock has not priced in a beat.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BRO vs. KIE (SPDR S&amp;P Insurance ETF) vs. S&amp;P 500 — Indexed to 100 at Q1 2026 Earnings Date (April 27, 2026). BRO: +2.4%; KIE: +11.0%; SPY: +3.3%. Source: Yahoo Finance.</w:t>
      </w:r>
    </w:p>
    <w:p>
      <w:r>
        <w:rPr>
          <w:rFonts w:ascii="Calibri" w:hAnsi="Calibri"/>
          <w:b/>
          <w:color w:val="525866"/>
          <w:sz w:val="22"/>
        </w:rPr>
        <w:t xml:space="preserve">Performance Detail: </w:t>
      </w:r>
      <w:r>
        <w:rPr>
          <w:rFonts w:ascii="Calibri" w:hAnsi="Calibri"/>
          <w:color w:val="525866"/>
          <w:sz w:val="22"/>
        </w:rPr>
        <w:t>BRO opened the post-Q1 period with a modest pullback (stock fell from $66.12 to $54.38 by mid-May, -17.8% from the earnings date), as the market digested the pharmacy model headwind and ongoing Howden litigation concerns. The stock then recovered through June and into July, aided by a broader insurance sector rally and the announcement of BRO's Q2 earnings date (July 28). The stock reached a recent high of $70.00 on July 2 before pulling back to the $65–68 range. The 12-month performance remains deeply negative (-34.4%), with multiple compression accounting for the vast majority of the decline (NTM EV/EBITDA down ~31% over 12 months vs. price down ~34%).</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BRO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+9.5%</w:t>
            </w:r>
          </w:p>
        </w:tc>
        <w:tc>
          <w:tcPr>
            <w:tcW w:type="dxa" w:w="1440"/>
          </w:tcPr>
          <w:p>
            <w:r>
              <w:rPr>
                <w:rFonts w:ascii="Calibri" w:hAnsi="Calibri"/>
                <w:sz w:val="22"/>
              </w:rPr>
              <w:t>10.2x</w:t>
            </w:r>
          </w:p>
        </w:tc>
        <w:tc>
          <w:tcPr>
            <w:tcW w:type="dxa" w:w="1440"/>
          </w:tcPr>
          <w:p>
            <w:r>
              <w:rPr>
                <w:rFonts w:ascii="Calibri" w:hAnsi="Calibri"/>
                <w:sz w:val="22"/>
              </w:rPr>
              <w:t>10.9x</w:t>
            </w:r>
          </w:p>
        </w:tc>
        <w:tc>
          <w:tcPr>
            <w:tcW w:type="dxa" w:w="1440"/>
          </w:tcPr>
          <w:p>
            <w:r>
              <w:rPr>
                <w:rFonts w:ascii="Calibri" w:hAnsi="Calibri"/>
                <w:sz w:val="22"/>
              </w:rPr>
              <w:t>+7.0%</w:t>
            </w:r>
          </w:p>
        </w:tc>
        <w:tc>
          <w:tcPr>
            <w:tcW w:type="dxa" w:w="1440"/>
          </w:tcPr>
          <w:p>
            <w:r>
              <w:rPr>
                <w:rFonts w:ascii="Calibri" w:hAnsi="Calibri"/>
                <w:sz w:val="22"/>
              </w:rPr>
              <w:t>Multiple expansion</w:t>
            </w:r>
          </w:p>
        </w:tc>
      </w:tr>
      <w:tr>
        <w:tc>
          <w:tcPr>
            <w:tcW w:type="dxa" w:w="1440"/>
          </w:tcPr>
          <w:p>
            <w:r>
              <w:rPr>
                <w:rFonts w:ascii="Calibri" w:hAnsi="Calibri"/>
                <w:sz w:val="22"/>
              </w:rPr>
              <w:t>3 Months</w:t>
            </w:r>
          </w:p>
        </w:tc>
        <w:tc>
          <w:tcPr>
            <w:tcW w:type="dxa" w:w="1440"/>
          </w:tcPr>
          <w:p>
            <w:r>
              <w:rPr>
                <w:rFonts w:ascii="Calibri" w:hAnsi="Calibri"/>
                <w:sz w:val="22"/>
              </w:rPr>
              <w:t>+0.2%</w:t>
            </w:r>
          </w:p>
        </w:tc>
        <w:tc>
          <w:tcPr>
            <w:tcW w:type="dxa" w:w="1440"/>
          </w:tcPr>
          <w:p>
            <w:r>
              <w:rPr>
                <w:rFonts w:ascii="Calibri" w:hAnsi="Calibri"/>
                <w:sz w:val="22"/>
              </w:rPr>
              <w:t>11.0x</w:t>
            </w:r>
          </w:p>
        </w:tc>
        <w:tc>
          <w:tcPr>
            <w:tcW w:type="dxa" w:w="1440"/>
          </w:tcPr>
          <w:p>
            <w:r>
              <w:rPr>
                <w:rFonts w:ascii="Calibri" w:hAnsi="Calibri"/>
                <w:sz w:val="22"/>
              </w:rPr>
              <w:t>10.9x</w:t>
            </w:r>
          </w:p>
        </w:tc>
        <w:tc>
          <w:tcPr>
            <w:tcW w:type="dxa" w:w="1440"/>
          </w:tcPr>
          <w:p>
            <w:r>
              <w:rPr>
                <w:rFonts w:ascii="Calibri" w:hAnsi="Calibri"/>
                <w:sz w:val="22"/>
              </w:rPr>
              <w:t>-1.5%</w:t>
            </w:r>
          </w:p>
        </w:tc>
        <w:tc>
          <w:tcPr>
            <w:tcW w:type="dxa" w:w="1440"/>
          </w:tcPr>
          <w:p>
            <w:r>
              <w:rPr>
                <w:rFonts w:ascii="Calibri" w:hAnsi="Calibri"/>
                <w:sz w:val="22"/>
              </w:rPr>
              <w:t>Flat (multiple/earnings offset)</w:t>
            </w:r>
          </w:p>
        </w:tc>
      </w:tr>
      <w:tr>
        <w:tc>
          <w:tcPr>
            <w:tcW w:type="dxa" w:w="1440"/>
          </w:tcPr>
          <w:p>
            <w:r>
              <w:rPr>
                <w:rFonts w:ascii="Calibri" w:hAnsi="Calibri"/>
                <w:sz w:val="22"/>
              </w:rPr>
              <w:t>6 Months</w:t>
            </w:r>
          </w:p>
        </w:tc>
        <w:tc>
          <w:tcPr>
            <w:tcW w:type="dxa" w:w="1440"/>
          </w:tcPr>
          <w:p>
            <w:r>
              <w:rPr>
                <w:rFonts w:ascii="Calibri" w:hAnsi="Calibri"/>
                <w:sz w:val="22"/>
              </w:rPr>
              <w:t>-13.9%</w:t>
            </w:r>
          </w:p>
        </w:tc>
        <w:tc>
          <w:tcPr>
            <w:tcW w:type="dxa" w:w="1440"/>
          </w:tcPr>
          <w:p>
            <w:r>
              <w:rPr>
                <w:rFonts w:ascii="Calibri" w:hAnsi="Calibri"/>
                <w:sz w:val="22"/>
              </w:rPr>
              <w:t>12.5x</w:t>
            </w:r>
          </w:p>
        </w:tc>
        <w:tc>
          <w:tcPr>
            <w:tcW w:type="dxa" w:w="1440"/>
          </w:tcPr>
          <w:p>
            <w:r>
              <w:rPr>
                <w:rFonts w:ascii="Calibri" w:hAnsi="Calibri"/>
                <w:sz w:val="22"/>
              </w:rPr>
              <w:t>10.9x</w:t>
            </w:r>
          </w:p>
        </w:tc>
        <w:tc>
          <w:tcPr>
            <w:tcW w:type="dxa" w:w="1440"/>
          </w:tcPr>
          <w:p>
            <w:r>
              <w:rPr>
                <w:rFonts w:ascii="Calibri" w:hAnsi="Calibri"/>
                <w:sz w:val="22"/>
              </w:rPr>
              <w:t>-13.3%</w:t>
            </w:r>
          </w:p>
        </w:tc>
        <w:tc>
          <w:tcPr>
            <w:tcW w:type="dxa" w:w="1440"/>
          </w:tcPr>
          <w:p>
            <w:r>
              <w:rPr>
                <w:rFonts w:ascii="Calibri" w:hAnsi="Calibri"/>
                <w:sz w:val="22"/>
              </w:rPr>
              <w:t>Multiple compression dominant</w:t>
            </w:r>
          </w:p>
        </w:tc>
      </w:tr>
      <w:tr>
        <w:tc>
          <w:tcPr>
            <w:tcW w:type="dxa" w:w="1440"/>
          </w:tcPr>
          <w:p>
            <w:r>
              <w:rPr>
                <w:rFonts w:ascii="Calibri" w:hAnsi="Calibri"/>
                <w:sz w:val="22"/>
              </w:rPr>
              <w:t>12 Months</w:t>
            </w:r>
          </w:p>
        </w:tc>
        <w:tc>
          <w:tcPr>
            <w:tcW w:type="dxa" w:w="1440"/>
          </w:tcPr>
          <w:p>
            <w:r>
              <w:rPr>
                <w:rFonts w:ascii="Calibri" w:hAnsi="Calibri"/>
                <w:sz w:val="22"/>
              </w:rPr>
              <w:t>-34.4%</w:t>
            </w:r>
          </w:p>
        </w:tc>
        <w:tc>
          <w:tcPr>
            <w:tcW w:type="dxa" w:w="1440"/>
          </w:tcPr>
          <w:p>
            <w:r>
              <w:rPr>
                <w:rFonts w:ascii="Calibri" w:hAnsi="Calibri"/>
                <w:sz w:val="22"/>
              </w:rPr>
              <w:t>15.7x</w:t>
            </w:r>
          </w:p>
        </w:tc>
        <w:tc>
          <w:tcPr>
            <w:tcW w:type="dxa" w:w="1440"/>
          </w:tcPr>
          <w:p>
            <w:r>
              <w:rPr>
                <w:rFonts w:ascii="Calibri" w:hAnsi="Calibri"/>
                <w:sz w:val="22"/>
              </w:rPr>
              <w:t>10.9x</w:t>
            </w:r>
          </w:p>
        </w:tc>
        <w:tc>
          <w:tcPr>
            <w:tcW w:type="dxa" w:w="1440"/>
          </w:tcPr>
          <w:p>
            <w:r>
              <w:rPr>
                <w:rFonts w:ascii="Calibri" w:hAnsi="Calibri"/>
                <w:sz w:val="22"/>
              </w:rPr>
              <w:t>-30.9%</w:t>
            </w:r>
          </w:p>
        </w:tc>
        <w:tc>
          <w:tcPr>
            <w:tcW w:type="dxa" w:w="1440"/>
          </w:tcPr>
          <w:p>
            <w:r>
              <w:rPr>
                <w:rFonts w:ascii="Calibri" w:hAnsi="Calibri"/>
                <w:sz w:val="22"/>
              </w:rPr>
              <w:t>Multiple compression dominant</w:t>
            </w:r>
          </w:p>
        </w:tc>
      </w:tr>
    </w:tbl>
    <w:p>
      <w:r>
        <w:rPr>
          <w:rFonts w:ascii="Calibri" w:hAnsi="Calibri"/>
          <w:i/>
          <w:color w:val="525866"/>
          <w:sz w:val="22"/>
        </w:rPr>
        <w:t>Source: Stock Price Data (Yahoo Finance); Valuation decomposition data as of July 24,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Howden litigation and talent competition dynamic, which is creating a measurable and growing revenue drag. The AI strategy announcement and contingent commission guidance reversal are the key positives to monitor.</w:t>
      </w:r>
    </w:p>
    <w:p>
      <w:pPr>
        <w:pStyle w:val="ListBullet"/>
        <w:ind w:left="360" w:hanging="360"/>
      </w:pPr>
      <w:r>
        <w:rPr>
          <w:rFonts w:ascii="Calibri" w:hAnsi="Calibri"/>
          <w:b/>
          <w:color w:val="525866"/>
          <w:sz w:val="22"/>
        </w:rPr>
        <w:t xml:space="preserve">April 28, 2026 — Q1 2026 Earnings Call: </w:t>
      </w:r>
      <w:r>
        <w:rPr>
          <w:rFonts w:ascii="Calibri" w:hAnsi="Calibri"/>
          <w:color w:val="525866"/>
          <w:sz w:val="22"/>
        </w:rPr>
        <w:t>BRO reported Q1 2026 results with adjusted EPS of $1.39 (+7.8% YoY) and revenues of $1.9B (+35.4% total). Key disclosures: (1) Contingent commissions surged $54M YoY, prompting management to reverse prior FY2026 guidance from a modest decline to above-2025 levels; (2) Organic revenue was flat (0.0% ex-contingents, +2.2% including contingents), weighed by ~100 bps flood claims processing comp; (3) Howden-related revenue impact grew to ~$10M in Q1 (annualized customer losses now ~$31M, up from $23M in Q4 2025); (4) Pharmacy consulting business transitioning to PEPM model, creating -50 to -100 bps drag on Retail organic for several quarters; (5) AI strategy presented with live use cases including automated submission processing (&gt;25% of end-to-end process) and policy checking agents saving &gt;50,000 hours annually.</w:t>
      </w:r>
    </w:p>
    <w:p>
      <w:pPr>
        <w:pStyle w:val="ListBullet"/>
        <w:ind w:left="360" w:hanging="360"/>
      </w:pPr>
      <w:r>
        <w:rPr>
          <w:rFonts w:ascii="Calibri" w:hAnsi="Calibri"/>
          <w:b/>
          <w:color w:val="525866"/>
          <w:sz w:val="22"/>
        </w:rPr>
        <w:t xml:space="preserve">April 28, 2026 — Accession Integration Update: </w:t>
      </w:r>
      <w:r>
        <w:rPr>
          <w:rFonts w:ascii="Calibri" w:hAnsi="Calibri"/>
          <w:color w:val="525866"/>
          <w:sz w:val="22"/>
        </w:rPr>
        <w:t>Management confirmed integration activities are on track to deliver $30–40M EBITDA synergies in FY2026. Accession contributed ~$445M in Q1 revenues. The 180 businesses from Accession are expected to drive Specialty Distribution organic growth in H2 2026, with a heavier casualty weighting vs. legacy BRO specialty (positive given CAT property rate headwinds).</w:t>
      </w:r>
    </w:p>
    <w:p>
      <w:pPr>
        <w:pStyle w:val="ListBullet"/>
        <w:ind w:left="360" w:hanging="360"/>
      </w:pPr>
      <w:r>
        <w:rPr>
          <w:rFonts w:ascii="Calibri" w:hAnsi="Calibri"/>
          <w:b/>
          <w:color w:val="525866"/>
          <w:sz w:val="22"/>
        </w:rPr>
        <w:t xml:space="preserve">May 5, 2026 — Director Open Market Purchase: </w:t>
      </w:r>
      <w:r>
        <w:rPr>
          <w:rFonts w:ascii="Calibri" w:hAnsi="Calibri"/>
          <w:color w:val="525866"/>
          <w:sz w:val="22"/>
        </w:rPr>
        <w:t>Director H. Palmer Proctor Jr. purchased 2,000 shares at market on May 5, 2026 (Form 4 filed May 6). Adds to a constructive insider signal at depressed price levels.</w:t>
      </w:r>
    </w:p>
    <w:p>
      <w:pPr>
        <w:pStyle w:val="ListBullet"/>
        <w:ind w:left="360" w:hanging="360"/>
      </w:pPr>
      <w:r>
        <w:rPr>
          <w:rFonts w:ascii="Calibri" w:hAnsi="Calibri"/>
          <w:b/>
          <w:color w:val="525866"/>
          <w:sz w:val="22"/>
        </w:rPr>
        <w:t xml:space="preserve">June 9, 2026 — Director Open Market Purchase: </w:t>
      </w:r>
      <w:r>
        <w:rPr>
          <w:rFonts w:ascii="Calibri" w:hAnsi="Calibri"/>
          <w:color w:val="525866"/>
          <w:sz w:val="22"/>
        </w:rPr>
        <w:t>Director Joia M. Johnson purchased 860 shares through a revocable trust on June 9, 2026 (Form 4 filed June 10). Second director purchase in two months reinforces insider confidence.</w:t>
      </w:r>
    </w:p>
    <w:p>
      <w:pPr>
        <w:pStyle w:val="ListBullet"/>
        <w:ind w:left="360" w:hanging="360"/>
      </w:pPr>
      <w:r>
        <w:rPr>
          <w:rFonts w:ascii="Calibri" w:hAnsi="Calibri"/>
          <w:b/>
          <w:color w:val="525866"/>
          <w:sz w:val="22"/>
        </w:rPr>
        <w:t xml:space="preserve">July 1, 2026 — Q2 2026 Earnings Date Announcement: </w:t>
      </w:r>
      <w:r>
        <w:rPr>
          <w:rFonts w:ascii="Calibri" w:hAnsi="Calibri"/>
          <w:color w:val="525866"/>
          <w:sz w:val="22"/>
        </w:rPr>
        <w:t>BRO announced Q2 2026 earnings release and conference call scheduled for July 28, 2026 at 8:00 AM ET. No pre-announcement or guidance update was included.</w:t>
      </w:r>
    </w:p>
    <w:p>
      <w:pPr>
        <w:pStyle w:val="ListBullet"/>
        <w:ind w:left="360" w:hanging="360"/>
      </w:pPr>
      <w:r>
        <w:rPr>
          <w:rFonts w:ascii="Calibri" w:hAnsi="Calibri"/>
          <w:b/>
          <w:color w:val="525866"/>
          <w:sz w:val="22"/>
        </w:rPr>
        <w:t xml:space="preserve">Ongoing — Howden Litigation: </w:t>
      </w:r>
      <w:r>
        <w:rPr>
          <w:rFonts w:ascii="Calibri" w:hAnsi="Calibri"/>
          <w:color w:val="525866"/>
          <w:sz w:val="22"/>
        </w:rPr>
        <w:t>The Massachusetts TRO (temporary restraining order) issued in late December 2025 remains in place with "very tight restrictions." Management expects quarterly revenue impacts to continue throughout 2026. The annualized customer loss figure ($31M as of end-March) is the key metric to watch for Q2 disclosure.</w:t>
      </w:r>
    </w:p>
    <w:p>
      <w:pPr>
        <w:pStyle w:val="ListBullet"/>
        <w:ind w:left="360" w:hanging="360"/>
      </w:pPr>
      <w:r>
        <w:rPr>
          <w:rFonts w:ascii="Calibri" w:hAnsi="Calibri"/>
          <w:b/>
          <w:color w:val="525866"/>
          <w:sz w:val="22"/>
        </w:rPr>
        <w:t xml:space="preserve">Ongoing — CAT Property Rate Environment: </w:t>
      </w:r>
      <w:r>
        <w:rPr>
          <w:rFonts w:ascii="Calibri" w:hAnsi="Calibri"/>
          <w:color w:val="525866"/>
          <w:sz w:val="22"/>
        </w:rPr>
        <w:t>Management guided Q2 CAT property rates to be "definitely under pressure like Q1" (most placements down 15–35%). Peer commentary from MMC (Q2 2026 earnings, July 21) confirmed property cat rate online index was down 16% at midyear, accelerating from -12% at January 1 — the steepest decline since the index was created 25 years ago. Florida Cat renewals (June 1) saw 15–20% rate reductions. This is a direct headwind to BRO's Specialty Distribution segment.</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Two directors made open-market purchases in May and June 2026 at prices in the $56–60 range, representing a constructive insider signal at levels well below the 52-week high. No sales have been disclosed in the period. The cluster of director buying near multi-year lows is a modest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 Palmer Proctor Jr.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2,000 shares</w:t>
            </w:r>
          </w:p>
        </w:tc>
        <w:tc>
          <w:tcPr>
            <w:tcW w:type="dxa" w:w="1440"/>
          </w:tcPr>
          <w:p>
            <w:r>
              <w:rPr>
                <w:rFonts w:ascii="Calibri" w:hAnsi="Calibri"/>
                <w:sz w:val="22"/>
              </w:rPr>
              <w:t>May 5, 2026</w:t>
            </w:r>
          </w:p>
        </w:tc>
        <w:tc>
          <w:tcPr>
            <w:tcW w:type="dxa" w:w="1440"/>
          </w:tcPr>
          <w:p>
            <w:r>
              <w:rPr>
                <w:rFonts w:ascii="Calibri" w:hAnsi="Calibri"/>
                <w:sz w:val="22"/>
              </w:rPr>
              <w:t>Discretionary purchase; direct ownership; total holdings 47,621 shares post-transaction. Stock ~$57 at time of purchase.</w:t>
            </w:r>
          </w:p>
        </w:tc>
      </w:tr>
      <w:tr>
        <w:tc>
          <w:tcPr>
            <w:tcW w:type="dxa" w:w="1440"/>
          </w:tcPr>
          <w:p>
            <w:r>
              <w:rPr>
                <w:rFonts w:ascii="Calibri" w:hAnsi="Calibri"/>
                <w:sz w:val="22"/>
              </w:rPr>
              <w:t>Joia M. Johnson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860 shares</w:t>
            </w:r>
          </w:p>
        </w:tc>
        <w:tc>
          <w:tcPr>
            <w:tcW w:type="dxa" w:w="1440"/>
          </w:tcPr>
          <w:p>
            <w:r>
              <w:rPr>
                <w:rFonts w:ascii="Calibri" w:hAnsi="Calibri"/>
                <w:sz w:val="22"/>
              </w:rPr>
              <w:t>June 9, 2026</w:t>
            </w:r>
          </w:p>
        </w:tc>
        <w:tc>
          <w:tcPr>
            <w:tcW w:type="dxa" w:w="1440"/>
          </w:tcPr>
          <w:p>
            <w:r>
              <w:rPr>
                <w:rFonts w:ascii="Calibri" w:hAnsi="Calibri"/>
                <w:sz w:val="22"/>
              </w:rPr>
              <w:t>Discretionary purchase via revocable trust (indirect ownership); stock ~$59 at time of purchase.</w:t>
            </w:r>
          </w:p>
        </w:tc>
      </w:tr>
    </w:tbl>
    <w:p>
      <w:r>
        <w:rPr>
          <w:rFonts w:ascii="Calibri" w:hAnsi="Calibri"/>
          <w:i/>
          <w:color w:val="525866"/>
          <w:sz w:val="22"/>
        </w:rPr>
        <w:t>Source: SEC Form 4 Filings. Form 4 Filing — H. Palmer Proctor Jr. (BRO), transaction date May 5, 2026. Form 4 Filing — Joia M. Johnson (BRO), transaction date June 9, 2026.</w:t>
      </w:r>
    </w:p>
    <w:p>
      <w:r>
        <w:br w:type="page"/>
      </w:r>
    </w:p>
    <w:p>
      <w:pPr>
        <w:pStyle w:val="Heading2"/>
      </w:pPr>
      <w:r>
        <w:rPr>
          <w:rFonts w:ascii="Calibri" w:hAnsi="Calibri"/>
          <w:b/>
          <w:color w:val="3B4259"/>
          <w:sz w:val="28"/>
        </w:rPr>
        <w:t>8. Peer Commentary — Q2 2026 Current-Quarter Read-Through</w:t>
      </w:r>
    </w:p>
    <w:p>
      <w:r>
        <w:rPr>
          <w:rFonts w:ascii="Calibri" w:hAnsi="Calibri"/>
          <w:b/>
          <w:color w:val="525866"/>
          <w:sz w:val="22"/>
        </w:rPr>
        <w:t xml:space="preserve">Key Takeaway: </w:t>
      </w:r>
      <w:r>
        <w:rPr>
          <w:rFonts w:ascii="Calibri" w:hAnsi="Calibri"/>
          <w:color w:val="525866"/>
          <w:sz w:val="22"/>
        </w:rPr>
        <w:t>Peer commentary from the last 60 days is broadly constructive for insurance brokerage organic growth (AJG guiding ~5% Q2 brokerage organic; MMC accelerating to 5% underlying; AON outperforming industry by 150 bps), but confirms the CAT property rate headwind is intensifying (MMC's property cat index down 16% at midyear, steepest decline in 25 years; AJG property down 9% in Q2 to date). Casualty remains firm. The read-through for BRO is mixed: the organic growth environment is supportive for well-diversified brokers, but BRO's above-average Specialty Distribution exposure to CAT property creates a specific headwind that peers with less property concentration do not face to the same degree.</w:t>
      </w:r>
    </w:p>
    <w:p>
      <w:pPr>
        <w:pStyle w:val="Heading3"/>
      </w:pPr>
      <w:r>
        <w:rPr>
          <w:rFonts w:ascii="Calibri" w:hAnsi="Calibri"/>
          <w:b/>
          <w:color w:val="3B4259"/>
          <w:sz w:val="24"/>
        </w:rPr>
        <w:t>Arthur J. Gallagher &amp; Co. (AJG) — Pre-Q2 2026 Investor Meeting (June 17, 2026)</w:t>
      </w:r>
    </w:p>
    <w:p>
      <w:r>
        <w:rPr>
          <w:rFonts w:ascii="Calibri" w:hAnsi="Calibri"/>
          <w:b/>
          <w:color w:val="525866"/>
          <w:sz w:val="22"/>
        </w:rPr>
        <w:t xml:space="preserve">Read-Through Direction: </w:t>
      </w:r>
      <w:r>
        <w:rPr>
          <w:rFonts w:ascii="Calibri" w:hAnsi="Calibri"/>
          <w:b/>
          <w:color w:val="525866"/>
          <w:sz w:val="22"/>
        </w:rPr>
        <w:t>Mixed (positive on organic growth; negative on property rates)</w:t>
      </w:r>
    </w:p>
    <w:p>
      <w:pPr>
        <w:pStyle w:val="ListBullet"/>
        <w:ind w:left="360" w:hanging="360"/>
      </w:pPr>
      <w:r>
        <w:rPr>
          <w:rFonts w:ascii="Calibri" w:hAnsi="Calibri"/>
          <w:b/>
          <w:color w:val="525866"/>
          <w:sz w:val="22"/>
        </w:rPr>
        <w:t xml:space="preserve">Organic Growth Guidance (Q2 2026): </w:t>
      </w:r>
      <w:r>
        <w:rPr>
          <w:rFonts w:ascii="Calibri" w:hAnsi="Calibri"/>
          <w:color w:val="525866"/>
          <w:sz w:val="22"/>
        </w:rPr>
        <w:t xml:space="preserve">AJG CFO Doug Hall stated the company expects "second quarter organic growth for the brokerage segment at about 5% and full year 2026 of approximately 5.5%." After two months into Q2, Hall expressed "further confidence in the second quarter organic of about 5%." Underlying trends described as "constructive" with renewal revenue increases continuing and net new business spread positive. </w:t>
      </w:r>
      <w:r>
        <w:rPr>
          <w:rFonts w:ascii="Calibri" w:hAnsi="Calibri"/>
          <w:b/>
          <w:color w:val="525866"/>
          <w:sz w:val="22"/>
        </w:rPr>
        <w:t xml:space="preserve">Read-through for BRO: Positive. </w:t>
      </w:r>
      <w:r>
        <w:rPr>
          <w:rFonts w:ascii="Calibri" w:hAnsi="Calibri"/>
          <w:color w:val="525866"/>
          <w:sz w:val="22"/>
        </w:rPr>
        <w:t>Demonstrates that well-diversified brokers can sustain mid-single-digit organic growth despite property rate headwinds, driven by new business, retention, and exposure growth. Rates contribute only ~1% to AJG's organic outlook, with the bigger drivers being new business, retention, and clients opting into broader coverage.</w:t>
      </w:r>
    </w:p>
    <w:p>
      <w:pPr>
        <w:pStyle w:val="ListBullet"/>
        <w:ind w:left="360" w:hanging="360"/>
      </w:pPr>
      <w:r>
        <w:rPr>
          <w:rFonts w:ascii="Calibri" w:hAnsi="Calibri"/>
          <w:b/>
          <w:color w:val="525866"/>
          <w:sz w:val="22"/>
        </w:rPr>
        <w:t xml:space="preserve">CAT Property Rates (Q2 2026 to date): </w:t>
      </w:r>
      <w:r>
        <w:rPr>
          <w:rFonts w:ascii="Calibri" w:hAnsi="Calibri"/>
          <w:color w:val="525866"/>
          <w:sz w:val="22"/>
        </w:rPr>
        <w:t xml:space="preserve">AJG reported property lines down 9% overall for the first two months of Q2, with US retail property down 11%. CAT-exposed property and complex risks continue to see pressure. AJG's CFO noted property rates "will continue to move lower somewhat throughout the year" but does not expect "another 10% coming out of this market next year." Florida Cat renewals saw "somewhat more downward pricing pressure." </w:t>
      </w:r>
      <w:r>
        <w:rPr>
          <w:rFonts w:ascii="Calibri" w:hAnsi="Calibri"/>
          <w:b/>
          <w:color w:val="525866"/>
          <w:sz w:val="22"/>
        </w:rPr>
        <w:t xml:space="preserve">Read-through for BRO: Negative. </w:t>
      </w:r>
      <w:r>
        <w:rPr>
          <w:rFonts w:ascii="Calibri" w:hAnsi="Calibri"/>
          <w:color w:val="525866"/>
          <w:sz w:val="22"/>
        </w:rPr>
        <w:t>Confirms the CAT property rate headwind is real and ongoing in Q2. BRO's Specialty Distribution segment has heavy CAT property weighting, and management guided Q2 organic (ex-contingents) to be "relatively flat" due to this exposure. The AJG data point validates this caution.</w:t>
      </w:r>
    </w:p>
    <w:p>
      <w:pPr>
        <w:pStyle w:val="ListBullet"/>
        <w:ind w:left="360" w:hanging="360"/>
      </w:pPr>
      <w:r>
        <w:rPr>
          <w:rFonts w:ascii="Calibri" w:hAnsi="Calibri"/>
          <w:b/>
          <w:color w:val="525866"/>
          <w:sz w:val="22"/>
        </w:rPr>
        <w:t xml:space="preserve">Casualty Rates (Q2 2026 to date): </w:t>
      </w:r>
      <w:r>
        <w:rPr>
          <w:rFonts w:ascii="Calibri" w:hAnsi="Calibri"/>
          <w:color w:val="525866"/>
          <w:sz w:val="22"/>
        </w:rPr>
        <w:t xml:space="preserve">Casualty lines up 5% overall, with US retail casualty up 7% (general liability +4%, commercial auto +8%, umbrella +8%). Cyber up 5% in US retail. </w:t>
      </w:r>
      <w:r>
        <w:rPr>
          <w:rFonts w:ascii="Calibri" w:hAnsi="Calibri"/>
          <w:b/>
          <w:color w:val="525866"/>
          <w:sz w:val="22"/>
        </w:rPr>
        <w:t xml:space="preserve">Read-through for BRO: Positive. </w:t>
      </w:r>
      <w:r>
        <w:rPr>
          <w:rFonts w:ascii="Calibri" w:hAnsi="Calibri"/>
          <w:color w:val="525866"/>
          <w:sz w:val="22"/>
        </w:rPr>
        <w:t>Casualty rate firmness supports BRO's Retail segment and the Accession businesses (which have heavier casualty weighting vs. legacy BRO specialty). This partially offsets the CAT property headwind.</w:t>
      </w:r>
    </w:p>
    <w:p>
      <w:pPr>
        <w:pStyle w:val="ListBullet"/>
        <w:ind w:left="360" w:hanging="360"/>
      </w:pPr>
      <w:r>
        <w:rPr>
          <w:rFonts w:ascii="Calibri" w:hAnsi="Calibri"/>
          <w:b/>
          <w:color w:val="525866"/>
          <w:sz w:val="22"/>
        </w:rPr>
        <w:t xml:space="preserve">Contingent/Supplemental Commissions: </w:t>
      </w:r>
      <w:r>
        <w:rPr>
          <w:rFonts w:ascii="Calibri" w:hAnsi="Calibri"/>
          <w:color w:val="525866"/>
          <w:sz w:val="22"/>
        </w:rPr>
        <w:t xml:space="preserve">AJG's CFO noted that "supplementals and contingents continue to grow and maybe they outpace our base commissions," viewing this as evidence of the value being brought to carriers. </w:t>
      </w:r>
      <w:r>
        <w:rPr>
          <w:rFonts w:ascii="Calibri" w:hAnsi="Calibri"/>
          <w:b/>
          <w:color w:val="525866"/>
          <w:sz w:val="22"/>
        </w:rPr>
        <w:t xml:space="preserve">Read-through for BRO: Positive. </w:t>
      </w:r>
      <w:r>
        <w:rPr>
          <w:rFonts w:ascii="Calibri" w:hAnsi="Calibri"/>
          <w:color w:val="525866"/>
          <w:sz w:val="22"/>
        </w:rPr>
        <w:t>Corroborates BRO management's guidance that contingent commissions will exceed 2025 levels in FY2026. The favorable underwriting profitability environment that drives contingents appears to be an industry-wide dynamic.</w:t>
      </w:r>
    </w:p>
    <w:p>
      <w:pPr>
        <w:pStyle w:val="ListBullet"/>
        <w:ind w:left="360" w:hanging="360"/>
      </w:pPr>
      <w:r>
        <w:rPr>
          <w:rFonts w:ascii="Calibri" w:hAnsi="Calibri"/>
          <w:b/>
          <w:color w:val="525866"/>
          <w:sz w:val="22"/>
        </w:rPr>
        <w:t xml:space="preserve">M&amp;A Pipeline: </w:t>
      </w:r>
      <w:r>
        <w:rPr>
          <w:rFonts w:ascii="Calibri" w:hAnsi="Calibri"/>
          <w:color w:val="525866"/>
          <w:sz w:val="22"/>
        </w:rPr>
        <w:t xml:space="preserve">AJG has completed 15 mergers YTD representing ~$115M annualized revenue, with a pipeline of "nearly 40 term sheets signed or being prepared, representing around $600M of annualized revenue." Sellers are "coming to grips that valuations are not as rich as they used to think." </w:t>
      </w:r>
      <w:r>
        <w:rPr>
          <w:rFonts w:ascii="Calibri" w:hAnsi="Calibri"/>
          <w:b/>
          <w:color w:val="525866"/>
          <w:sz w:val="22"/>
        </w:rPr>
        <w:t xml:space="preserve">Read-through for BRO: Positive. </w:t>
      </w:r>
      <w:r>
        <w:rPr>
          <w:rFonts w:ascii="Calibri" w:hAnsi="Calibri"/>
          <w:color w:val="525866"/>
          <w:sz w:val="22"/>
        </w:rPr>
        <w:t>A more rational M&amp;A valuation environment could benefit BRO's acquisition strategy as it continues to integrate Accession and looks for tuck-in opportunities.</w:t>
      </w:r>
    </w:p>
    <w:p>
      <w:pPr>
        <w:pStyle w:val="ListBullet"/>
        <w:ind w:left="360" w:hanging="360"/>
      </w:pPr>
      <w:r>
        <w:rPr>
          <w:rFonts w:ascii="Calibri" w:hAnsi="Calibri"/>
          <w:b/>
          <w:color w:val="525866"/>
          <w:sz w:val="22"/>
        </w:rPr>
        <w:t xml:space="preserve">AI Strategy: </w:t>
      </w:r>
      <w:r>
        <w:rPr>
          <w:rFonts w:ascii="Calibri" w:hAnsi="Calibri"/>
          <w:color w:val="525866"/>
          <w:sz w:val="22"/>
        </w:rPr>
        <w:t xml:space="preserve">AJG described AI as "already integrated into how we operate" with practical workflow applications across brokerage, claims, benefits, and reinsurance. Expected benefits: productivity and quality first, then margins, then revenue lifts over a "3 to 5 year journey." Potential cost savings of 5% in producer/field sales, 10–15% in service layer, 20–30% in back office. </w:t>
      </w:r>
      <w:r>
        <w:rPr>
          <w:rFonts w:ascii="Calibri" w:hAnsi="Calibri"/>
          <w:b/>
          <w:color w:val="525866"/>
          <w:sz w:val="22"/>
        </w:rPr>
        <w:t xml:space="preserve">Read-through for BRO: Positive. </w:t>
      </w:r>
      <w:r>
        <w:rPr>
          <w:rFonts w:ascii="Calibri" w:hAnsi="Calibri"/>
          <w:color w:val="525866"/>
          <w:sz w:val="22"/>
        </w:rPr>
        <w:t>Validates BRO's AI strategy and framing (AI as enabler, not disruptor). Both companies emphasize that AI disintermediates tasks, not trust, and that advisory relationships remain durable.</w:t>
      </w:r>
    </w:p>
    <w:p>
      <w:pPr>
        <w:pStyle w:val="Heading3"/>
      </w:pPr>
      <w:r>
        <w:rPr>
          <w:rFonts w:ascii="Calibri" w:hAnsi="Calibri"/>
          <w:b/>
          <w:color w:val="3B4259"/>
          <w:sz w:val="24"/>
        </w:rPr>
        <w:t>Marsh McLennan (MMC) — Q2 2026 Earnings Call (July 21, 2026)</w:t>
      </w:r>
    </w:p>
    <w:p>
      <w:r>
        <w:rPr>
          <w:rFonts w:ascii="Calibri" w:hAnsi="Calibri"/>
          <w:b/>
          <w:color w:val="525866"/>
          <w:sz w:val="22"/>
        </w:rPr>
        <w:t xml:space="preserve">Read-Through Direction: </w:t>
      </w:r>
      <w:r>
        <w:rPr>
          <w:rFonts w:ascii="Calibri" w:hAnsi="Calibri"/>
          <w:b/>
          <w:color w:val="525866"/>
          <w:sz w:val="22"/>
        </w:rPr>
        <w:t>Mixed (positive on organic growth resilience; negative on property rate acceleration)</w:t>
      </w:r>
    </w:p>
    <w:p>
      <w:pPr>
        <w:pStyle w:val="ListBullet"/>
        <w:ind w:left="360" w:hanging="360"/>
      </w:pPr>
      <w:r>
        <w:rPr>
          <w:rFonts w:ascii="Calibri" w:hAnsi="Calibri"/>
          <w:b/>
          <w:color w:val="525866"/>
          <w:sz w:val="22"/>
        </w:rPr>
        <w:t xml:space="preserve">Organic Growth (Q2 2026 Actual): </w:t>
      </w:r>
      <w:r>
        <w:rPr>
          <w:rFonts w:ascii="Calibri" w:hAnsi="Calibri"/>
          <w:color w:val="525866"/>
          <w:sz w:val="22"/>
        </w:rPr>
        <w:t xml:space="preserve">MMC reported overall revenue growth of 6% and underlying revenue growth accelerating to 5% from 4% in Q1 2026. Marsh Risk segment (most comparable to BRO's core business) grew 4% on an underlying basis. MMC expects "a good year in 2026 with underlying revenue growth similar to last year" along with "another year of margin expansion and solid adjusted EPS growth." </w:t>
      </w:r>
      <w:r>
        <w:rPr>
          <w:rFonts w:ascii="Calibri" w:hAnsi="Calibri"/>
          <w:b/>
          <w:color w:val="525866"/>
          <w:sz w:val="22"/>
        </w:rPr>
        <w:t xml:space="preserve">Read-through for BRO: Positive. </w:t>
      </w:r>
      <w:r>
        <w:rPr>
          <w:rFonts w:ascii="Calibri" w:hAnsi="Calibri"/>
          <w:color w:val="525866"/>
          <w:sz w:val="22"/>
        </w:rPr>
        <w:t>Sustained underlying revenue growth for MMC's brokerage segment, even with market headwinds, suggests resilient demand for insurance brokerage services. Supports BRO's guidance for sequential organic improvement.</w:t>
      </w:r>
    </w:p>
    <w:p>
      <w:pPr>
        <w:pStyle w:val="ListBullet"/>
        <w:ind w:left="360" w:hanging="360"/>
      </w:pPr>
      <w:r>
        <w:rPr>
          <w:rFonts w:ascii="Calibri" w:hAnsi="Calibri"/>
          <w:b/>
          <w:color w:val="525866"/>
          <w:sz w:val="22"/>
        </w:rPr>
        <w:t xml:space="preserve">CAT Property Rates (Q2 2026 Actual — Most Important Data Point): </w:t>
      </w:r>
      <w:r>
        <w:rPr>
          <w:rFonts w:ascii="Calibri" w:hAnsi="Calibri"/>
          <w:color w:val="525866"/>
          <w:sz w:val="22"/>
        </w:rPr>
        <w:t xml:space="preserve">MMC's Marsh Global Insurance Market Index showed primary commercial insurance rates decreased 6% in Q2 (vs. -5% in Q1 2026). Global property rates decreased 12% YoY, "an acceleration from the prior quarter." The property cat rate online index was down 16% at midyear, accelerating from -12% at January 1 — described as "the steepest year over year decline we've observed since the index was created 25 years ago." June 1 Florida Cat renewals saw rate reductions in the "15 to 20% range." </w:t>
      </w:r>
      <w:r>
        <w:rPr>
          <w:rFonts w:ascii="Calibri" w:hAnsi="Calibri"/>
          <w:b/>
          <w:color w:val="525866"/>
          <w:sz w:val="22"/>
        </w:rPr>
        <w:t xml:space="preserve">Read-through for BRO: Negative. </w:t>
      </w:r>
      <w:r>
        <w:rPr>
          <w:rFonts w:ascii="Calibri" w:hAnsi="Calibri"/>
          <w:color w:val="525866"/>
          <w:sz w:val="22"/>
        </w:rPr>
        <w:t>This is the most important peer data point for BRO's Q2 print. The acceleration in CAT property rate declines (from -12% at Jan 1 to -16% at midyear) is worse than what BRO management guided at Q1 ("similar to Q1"). This could pressure Specialty Distribution organic growth beyond the "relatively flat" guidance and may weigh on contingent commission profitability in future periods.</w:t>
      </w:r>
    </w:p>
    <w:p>
      <w:pPr>
        <w:pStyle w:val="ListBullet"/>
        <w:ind w:left="360" w:hanging="360"/>
      </w:pPr>
      <w:r>
        <w:rPr>
          <w:rFonts w:ascii="Calibri" w:hAnsi="Calibri"/>
          <w:b/>
          <w:color w:val="525866"/>
          <w:sz w:val="22"/>
        </w:rPr>
        <w:t xml:space="preserve">US Market Pricing: </w:t>
      </w:r>
      <w:r>
        <w:rPr>
          <w:rFonts w:ascii="Calibri" w:hAnsi="Calibri"/>
          <w:color w:val="525866"/>
          <w:sz w:val="22"/>
        </w:rPr>
        <w:t xml:space="preserve">US rates decreased only 2% (vs. global -6%), with US excess casualty notably up 15%, reflecting "continued elevated loss experience." John Doyle noted US pricing is "relatively stable" into May. </w:t>
      </w:r>
      <w:r>
        <w:rPr>
          <w:rFonts w:ascii="Calibri" w:hAnsi="Calibri"/>
          <w:b/>
          <w:color w:val="525866"/>
          <w:sz w:val="22"/>
        </w:rPr>
        <w:t xml:space="preserve">Read-through for BRO: Mixed. </w:t>
      </w:r>
      <w:r>
        <w:rPr>
          <w:rFonts w:ascii="Calibri" w:hAnsi="Calibri"/>
          <w:color w:val="525866"/>
          <w:sz w:val="22"/>
        </w:rPr>
        <w:t>BRO's middle-market focus means it is more exposed to the US market (where declines are more muted) than large-account global indices. The US excess casualty strength is a positive for BRO's casualty-heavy Accession businesses.</w:t>
      </w:r>
    </w:p>
    <w:p>
      <w:pPr>
        <w:pStyle w:val="ListBullet"/>
        <w:ind w:left="360" w:hanging="360"/>
      </w:pPr>
      <w:r>
        <w:rPr>
          <w:rFonts w:ascii="Calibri" w:hAnsi="Calibri"/>
          <w:b/>
          <w:color w:val="525866"/>
          <w:sz w:val="22"/>
        </w:rPr>
        <w:t xml:space="preserve">Fiduciary Interest Income: </w:t>
      </w:r>
      <w:r>
        <w:rPr>
          <w:rFonts w:ascii="Calibri" w:hAnsi="Calibri"/>
          <w:color w:val="525866"/>
          <w:sz w:val="22"/>
        </w:rPr>
        <w:t xml:space="preserve">MMC's fiduciary interest income was $88M in Q2 2026, down $11M vs. Q2 2025, "reflecting lower interest rates." Expects ~$95M in Q3. </w:t>
      </w:r>
      <w:r>
        <w:rPr>
          <w:rFonts w:ascii="Calibri" w:hAnsi="Calibri"/>
          <w:b/>
          <w:color w:val="525866"/>
          <w:sz w:val="22"/>
        </w:rPr>
        <w:t xml:space="preserve">Read-through for BRO: Negative. </w:t>
      </w:r>
      <w:r>
        <w:rPr>
          <w:rFonts w:ascii="Calibri" w:hAnsi="Calibri"/>
          <w:color w:val="525866"/>
          <w:sz w:val="22"/>
        </w:rPr>
        <w:t>Lower interest rates reduce income from client funds held in trust. BRO's investment income line has already been flagged as a near-term headwind to margins.</w:t>
      </w:r>
    </w:p>
    <w:p>
      <w:pPr>
        <w:pStyle w:val="ListBullet"/>
        <w:ind w:left="360" w:hanging="360"/>
      </w:pPr>
      <w:r>
        <w:rPr>
          <w:rFonts w:ascii="Calibri" w:hAnsi="Calibri"/>
          <w:b/>
          <w:color w:val="525866"/>
          <w:sz w:val="22"/>
        </w:rPr>
        <w:t xml:space="preserve">Talent Competition: </w:t>
      </w:r>
      <w:r>
        <w:rPr>
          <w:rFonts w:ascii="Calibri" w:hAnsi="Calibri"/>
          <w:color w:val="525866"/>
          <w:sz w:val="22"/>
        </w:rPr>
        <w:t xml:space="preserve">MMC acknowledged "team raids and unethical conduct in the market" while noting colleague retention is "very strong." The company is actively investing in sales capacity and adding client-facing talent. </w:t>
      </w:r>
      <w:r>
        <w:rPr>
          <w:rFonts w:ascii="Calibri" w:hAnsi="Calibri"/>
          <w:b/>
          <w:color w:val="525866"/>
          <w:sz w:val="22"/>
        </w:rPr>
        <w:t xml:space="preserve">Read-through for BRO: Negative. </w:t>
      </w:r>
      <w:r>
        <w:rPr>
          <w:rFonts w:ascii="Calibri" w:hAnsi="Calibri"/>
          <w:color w:val="525866"/>
          <w:sz w:val="22"/>
        </w:rPr>
        <w:t>Intensifying competition for producers from large peers like MMC could increase compensation costs for BRO or make it harder to attract talent, particularly in the context of the ongoing Howden litigation.</w:t>
      </w:r>
    </w:p>
    <w:p>
      <w:pPr>
        <w:pStyle w:val="Heading3"/>
      </w:pPr>
      <w:r>
        <w:rPr>
          <w:rFonts w:ascii="Calibri" w:hAnsi="Calibri"/>
          <w:b/>
          <w:color w:val="3B4259"/>
          <w:sz w:val="24"/>
        </w:rPr>
        <w:t>Aon plc (AON) — Morgan Stanley U.S. Financials Conference (June 9, 2026)</w:t>
      </w:r>
    </w:p>
    <w:p>
      <w:r>
        <w:rPr>
          <w:rFonts w:ascii="Calibri" w:hAnsi="Calibri"/>
          <w:b/>
          <w:color w:val="525866"/>
          <w:sz w:val="22"/>
        </w:rPr>
        <w:t xml:space="preserve">Read-Through Direction: </w:t>
      </w:r>
      <w:r>
        <w:rPr>
          <w:rFonts w:ascii="Calibri" w:hAnsi="Calibri"/>
          <w:b/>
          <w:color w:val="525866"/>
          <w:sz w:val="22"/>
        </w:rPr>
        <w:t>Positive (organic growth resilience; M&amp;A tailwinds; contingent commission dynamics)</w:t>
      </w:r>
    </w:p>
    <w:p>
      <w:pPr>
        <w:pStyle w:val="ListBullet"/>
        <w:ind w:left="360" w:hanging="360"/>
      </w:pPr>
      <w:r>
        <w:rPr>
          <w:rFonts w:ascii="Calibri" w:hAnsi="Calibri"/>
          <w:b/>
          <w:color w:val="525866"/>
          <w:sz w:val="22"/>
        </w:rPr>
        <w:t xml:space="preserve">Organic Growth Resilience: </w:t>
      </w:r>
      <w:r>
        <w:rPr>
          <w:rFonts w:ascii="Calibri" w:hAnsi="Calibri"/>
          <w:color w:val="525866"/>
          <w:sz w:val="22"/>
        </w:rPr>
        <w:t xml:space="preserve">AON CFO Edmund Reese stated organic revenue growth has been "accelerating in the most recent data point, it's 150 basis points better than the industry average," with commercial risk "440 basis points better than the industry average." AON achieved 6% top-line organic growth for both 2024 and 2025, with the most recent quarter showing 7% in commercial risk. AON remains confident in its ability to achieve "mid-single-digit growth in all pricing environments." </w:t>
      </w:r>
      <w:r>
        <w:rPr>
          <w:rFonts w:ascii="Calibri" w:hAnsi="Calibri"/>
          <w:b/>
          <w:color w:val="525866"/>
          <w:sz w:val="22"/>
        </w:rPr>
        <w:t xml:space="preserve">Read-through for BRO: Positive. </w:t>
      </w:r>
      <w:r>
        <w:rPr>
          <w:rFonts w:ascii="Calibri" w:hAnsi="Calibri"/>
          <w:color w:val="525866"/>
          <w:sz w:val="22"/>
        </w:rPr>
        <w:t>Demonstrates that the insurance brokerage market remains healthy and that strong operators can sustain mid-single-digit organic growth despite property rate headwinds. The R-squared of pricing to AON's organic growth is only 0.1%, while nominal GDP is 0.67 — suggesting macro conditions (not pricing) are the primary organic growth driver.</w:t>
      </w:r>
    </w:p>
    <w:p>
      <w:pPr>
        <w:pStyle w:val="ListBullet"/>
        <w:ind w:left="360" w:hanging="360"/>
      </w:pPr>
      <w:r>
        <w:rPr>
          <w:rFonts w:ascii="Calibri" w:hAnsi="Calibri"/>
          <w:b/>
          <w:color w:val="525866"/>
          <w:sz w:val="22"/>
        </w:rPr>
        <w:t xml:space="preserve">Pricing Environment: </w:t>
      </w:r>
      <w:r>
        <w:rPr>
          <w:rFonts w:ascii="Calibri" w:hAnsi="Calibri"/>
          <w:color w:val="525866"/>
          <w:sz w:val="22"/>
        </w:rPr>
        <w:t xml:space="preserve">AON acknowledged softening in large property rates ("15% decline in rate" for large property) but noted this is "more muted in the middle market." Casualty is "still growing at a high single-digit rate" despite some deceleration. </w:t>
      </w:r>
      <w:r>
        <w:rPr>
          <w:rFonts w:ascii="Calibri" w:hAnsi="Calibri"/>
          <w:b/>
          <w:color w:val="525866"/>
          <w:sz w:val="22"/>
        </w:rPr>
        <w:t xml:space="preserve">Read-through for BRO: Mixed. </w:t>
      </w:r>
      <w:r>
        <w:rPr>
          <w:rFonts w:ascii="Calibri" w:hAnsi="Calibri"/>
          <w:color w:val="525866"/>
          <w:sz w:val="22"/>
        </w:rPr>
        <w:t>The middle-market focus of BRO's Retail segment means property rate declines are less severe than large-account indices suggest. However, BRO's Specialty Distribution segment (which includes large CAT property placements) faces the full brunt of the large-account rate declines.</w:t>
      </w:r>
    </w:p>
    <w:p>
      <w:pPr>
        <w:pStyle w:val="ListBullet"/>
        <w:ind w:left="360" w:hanging="360"/>
      </w:pPr>
      <w:r>
        <w:rPr>
          <w:rFonts w:ascii="Calibri" w:hAnsi="Calibri"/>
          <w:b/>
          <w:color w:val="525866"/>
          <w:sz w:val="22"/>
        </w:rPr>
        <w:t xml:space="preserve">M&amp;A Activity: </w:t>
      </w:r>
      <w:r>
        <w:rPr>
          <w:rFonts w:ascii="Calibri" w:hAnsi="Calibri"/>
          <w:color w:val="525866"/>
          <w:sz w:val="22"/>
        </w:rPr>
        <w:t xml:space="preserve">M&amp;A activity was "up over 25% in the first quarter," with AON deploying $349M toward tuck-in M&amp;A in Q1. The pipeline is "still strong" though valuations "might not yet reflect public market valuations." </w:t>
      </w:r>
      <w:r>
        <w:rPr>
          <w:rFonts w:ascii="Calibri" w:hAnsi="Calibri"/>
          <w:b/>
          <w:color w:val="525866"/>
          <w:sz w:val="22"/>
        </w:rPr>
        <w:t xml:space="preserve">Read-through for BRO: Positive. </w:t>
      </w:r>
      <w:r>
        <w:rPr>
          <w:rFonts w:ascii="Calibri" w:hAnsi="Calibri"/>
          <w:color w:val="525866"/>
          <w:sz w:val="22"/>
        </w:rPr>
        <w:t>Increased M&amp;A activity is a tailwind for brokerage revenue (advisory fees, D&amp;O, representations &amp; warranties insurance). Also supports BRO's own acquisition pipeline as it continues to integrate Accession.</w:t>
      </w:r>
    </w:p>
    <w:p>
      <w:pPr>
        <w:pStyle w:val="Heading3"/>
      </w:pPr>
      <w:r>
        <w:rPr>
          <w:rFonts w:ascii="Calibri" w:hAnsi="Calibri"/>
          <w:b/>
          <w:color w:val="3B4259"/>
          <w:sz w:val="24"/>
        </w:rPr>
        <w:t>RLI Corp. (RLI) — Q2 2026 Earnings Call (July 23, 2026)</w:t>
      </w:r>
    </w:p>
    <w:p>
      <w:r>
        <w:rPr>
          <w:rFonts w:ascii="Calibri" w:hAnsi="Calibri"/>
          <w:b/>
          <w:color w:val="525866"/>
          <w:sz w:val="22"/>
        </w:rPr>
        <w:t xml:space="preserve">Read-Through Direction: </w:t>
      </w:r>
      <w:r>
        <w:rPr>
          <w:rFonts w:ascii="Calibri" w:hAnsi="Calibri"/>
          <w:b/>
          <w:color w:val="525866"/>
          <w:sz w:val="22"/>
        </w:rPr>
        <w:t>Negative on property; Mixed on casualty (relevant as a specialty/E&amp;S market read-through)</w:t>
      </w:r>
    </w:p>
    <w:p>
      <w:pPr>
        <w:pStyle w:val="ListBullet"/>
        <w:ind w:left="360" w:hanging="360"/>
      </w:pPr>
      <w:r>
        <w:rPr>
          <w:rFonts w:ascii="Calibri" w:hAnsi="Calibri"/>
          <w:b/>
          <w:color w:val="525866"/>
          <w:sz w:val="22"/>
        </w:rPr>
        <w:t xml:space="preserve">Property Market Conditions (Q2 2026 Actual): </w:t>
      </w:r>
      <w:r>
        <w:rPr>
          <w:rFonts w:ascii="Calibri" w:hAnsi="Calibri"/>
          <w:color w:val="525866"/>
          <w:sz w:val="22"/>
        </w:rPr>
        <w:t xml:space="preserve">RLI reported that "the ONS property industry continues to experience heightened competition," with individual submissions going to "over 45 markets" and brokers "receiving unsolicited quotes based on last year's submission." New markets are entering, standard markets are returning to classes they exited during the hard market, and they are "offering broader terms for less premium." RLI's property renewal retention ratio is "down to just under 70%." Hurricane-exposed risks are now receiving rate decreases on their second renewal during the soft market. </w:t>
      </w:r>
      <w:r>
        <w:rPr>
          <w:rFonts w:ascii="Calibri" w:hAnsi="Calibri"/>
          <w:b/>
          <w:color w:val="525866"/>
          <w:sz w:val="22"/>
        </w:rPr>
        <w:t xml:space="preserve">Read-through for BRO: Negative. </w:t>
      </w:r>
      <w:r>
        <w:rPr>
          <w:rFonts w:ascii="Calibri" w:hAnsi="Calibri"/>
          <w:color w:val="525866"/>
          <w:sz w:val="22"/>
        </w:rPr>
        <w:t>Confirms the CAT property market is in a deep soft cycle. For BRO's Specialty Distribution segment, this means lower premiums on CAT property placements, directly reducing commission revenue. The high client churn (RLI retention at 70%) also means BRO must work harder to retain and replace business.</w:t>
      </w:r>
    </w:p>
    <w:p>
      <w:pPr>
        <w:pStyle w:val="ListBullet"/>
        <w:ind w:left="360" w:hanging="360"/>
      </w:pPr>
      <w:r>
        <w:rPr>
          <w:rFonts w:ascii="Calibri" w:hAnsi="Calibri"/>
          <w:b/>
          <w:color w:val="525866"/>
          <w:sz w:val="22"/>
        </w:rPr>
        <w:t xml:space="preserve">Casualty Market (Q2 2026 Actual): </w:t>
      </w:r>
      <w:r>
        <w:rPr>
          <w:rFonts w:ascii="Calibri" w:hAnsi="Calibri"/>
          <w:color w:val="525866"/>
          <w:sz w:val="22"/>
        </w:rPr>
        <w:t xml:space="preserve">RLI's overall casualty premium rose 11% with rates up 10%, matching Q1. Personal umbrella premium up 26% with rate increases of 17%. Transportation premium up 19% with 8% rate increase. However, commercial auto rates are "down a bit from Q1" (10% overall in Q2 vs. higher in Q1), and cash brokerage premium was "down 6% in the quarter as competition has increased." Excess liability rates "remain strong at 7%." </w:t>
      </w:r>
      <w:r>
        <w:rPr>
          <w:rFonts w:ascii="Calibri" w:hAnsi="Calibri"/>
          <w:b/>
          <w:color w:val="525866"/>
          <w:sz w:val="22"/>
        </w:rPr>
        <w:t xml:space="preserve">Read-through for BRO: Mixed. </w:t>
      </w:r>
      <w:r>
        <w:rPr>
          <w:rFonts w:ascii="Calibri" w:hAnsi="Calibri"/>
          <w:color w:val="525866"/>
          <w:sz w:val="22"/>
        </w:rPr>
        <w:t>Strong casualty rate environment (particularly personal umbrella and transportation) is a positive for BRO's Retail segment. However, the deceleration in commercial auto and increased competition in cash brokerage are cautionary signals.</w:t>
      </w:r>
    </w:p>
    <w:p>
      <w:pPr>
        <w:pStyle w:val="ListBullet"/>
        <w:ind w:left="360" w:hanging="360"/>
      </w:pPr>
      <w:r>
        <w:rPr>
          <w:rFonts w:ascii="Calibri" w:hAnsi="Calibri"/>
          <w:b/>
          <w:color w:val="525866"/>
          <w:sz w:val="22"/>
        </w:rPr>
        <w:t xml:space="preserve">Commission Dynamics: </w:t>
      </w:r>
      <w:r>
        <w:rPr>
          <w:rFonts w:ascii="Calibri" w:hAnsi="Calibri"/>
          <w:color w:val="525866"/>
          <w:sz w:val="22"/>
        </w:rPr>
        <w:t xml:space="preserve">RLI noted that "in the soft market, brokers are asking for more commission," creating pressure on carrier margins. RLI's CFO acknowledged this dynamic but noted it is selective in how it responds. </w:t>
      </w:r>
      <w:r>
        <w:rPr>
          <w:rFonts w:ascii="Calibri" w:hAnsi="Calibri"/>
          <w:b/>
          <w:color w:val="525866"/>
          <w:sz w:val="22"/>
        </w:rPr>
        <w:t xml:space="preserve">Read-through for BRO: Negative. </w:t>
      </w:r>
      <w:r>
        <w:rPr>
          <w:rFonts w:ascii="Calibri" w:hAnsi="Calibri"/>
          <w:color w:val="525866"/>
          <w:sz w:val="22"/>
        </w:rPr>
        <w:t>In a softening market, carriers may be less willing to increase commission payouts, potentially compressing BRO's profitability in property lines. This is a risk to the contingent commission outlook if underwriting profitability deteriorates.</w:t>
      </w:r>
    </w:p>
    <w:p>
      <w:r>
        <w:rPr>
          <w:rFonts w:ascii="Calibri" w:hAnsi="Calibri"/>
          <w:i/>
          <w:color w:val="525866"/>
          <w:sz w:val="22"/>
        </w:rPr>
        <w:t>Sources: AJG Pre-Q2 2026 Investor Meeting transcript (June 17, 2026); MMC Q2 2026 Earnings Call transcript (July 21, 2026); AON Morgan Stanley U.S. Financials Conference transcript (June 9, 2026); RLI Q2 2026 Earnings Call transcript (July 23, 2026). All commentary reflects current-quarter (Q2 2026) trading environment and forward outlook only; prior-quarter result commentary excluded.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