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BX (Blackstone) before writing the preview. Let me gather recent earnings materials, filings, and news.Let me read the most recent earnings materials and get more context.Let me gather recent news and stock performance to understand the setup into Q2.Let me pull a bit more context on developments during Q2 and the private credit/sector backdrop.I now have what I need. Here's the earnings preview.</w:t>
      </w:r>
    </w:p>
    <w:p>
      <w:r>
        <w:pict>
          <v:rect style="width:0;height:1.5pt" o:hralign="center" o:hrstd="t" o:hr="t"/>
        </w:pict>
      </w:r>
    </w:p>
    <w:bookmarkStart w:id="20" w:name="blackstone-bx--q2-2026-earnings-preview"/>
    <w:p>
      <w:pPr>
        <w:pStyle w:val="Heading1"/>
      </w:pPr>
      <w:r>
        <w:t xml:space="preserve">Blackstone (BX) — Q2 2026 Earnings Preview</w:t>
      </w:r>
    </w:p>
    <w:bookmarkStart w:id="9" w:name="X436c1e3358d1aad1532120dc9316052260bc3b3"/>
    <w:p>
      <w:pPr>
        <w:pStyle w:val="Heading3"/>
      </w:pPr>
      <w:r>
        <w:t xml:space="preserve">Reports Thursday, July 23, 2026 (before U.S. open) · 2026Q2 Earnings Call</w:t>
      </w:r>
    </w:p>
    <w:bookmarkEnd w:id="9"/>
    <w:bookmarkStart w:id="10" w:name="the-one-line-setup"/>
    <w:p>
      <w:pPr>
        <w:pStyle w:val="Heading2"/>
      </w:pPr>
      <w:r>
        <w:t xml:space="preserve">The one-line setup</w:t>
      </w:r>
    </w:p>
    <w:p>
      <w:pPr>
        <w:pStyle w:val="FirstParagraph"/>
      </w:pPr>
      <w:r>
        <w:t xml:space="preserve">Blackstone heads into Q2 as the clear franchise leader in alternatives, but the stock has been a persistent underperformer in 2026 as the market wrestles with two opposing narratives: an unrivaled AI-infrastructure/hard-asset engine driving performance and inflows, versus a noisy, redemption-plagued private-credit wealth channel and a realization environment that keeps getting pushed out by geopolitics. Expect the call to be more about</w:t>
      </w:r>
      <w:r>
        <w:t xml:space="preserve"> </w:t>
      </w:r>
      <w:r>
        <w:rPr>
          <w:i/>
          <w:iCs/>
        </w:rPr>
        <w:t xml:space="preserve">narrative resolution</w:t>
      </w:r>
      <w:r>
        <w:t xml:space="preserve"> </w:t>
      </w:r>
      <w:r>
        <w:t xml:space="preserve">than the headline print.</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rPr>
          <w:b/>
          <w:bCs/>
        </w:rPr>
        <w:t xml:space="preserve">Consensus DE/EPS: ~$1.33</w:t>
      </w:r>
      <w:r>
        <w:t xml:space="preserve"> </w:t>
      </w:r>
      <w:r>
        <w:t xml:space="preserve">for Q2, vs. $1.21 in Q2'25 (~+10% YoY) and $1.36 last quarter (Q1'26).</w:t>
      </w:r>
    </w:p>
    <w:p>
      <w:pPr>
        <w:pStyle w:val="Compact"/>
        <w:numPr>
          <w:ilvl w:val="0"/>
          <w:numId w:val="1001"/>
        </w:numPr>
      </w:pPr>
      <w:r>
        <w:rPr>
          <w:b/>
          <w:bCs/>
        </w:rPr>
        <w:t xml:space="preserve">Inflows: ~$54B</w:t>
      </w:r>
      <w:r>
        <w:t xml:space="preserve"> </w:t>
      </w:r>
      <w:r>
        <w:t xml:space="preserve">expected, which would be a step down from $68.5B in Q1'26 but still robust.</w:t>
      </w:r>
    </w:p>
    <w:p>
      <w:pPr>
        <w:pStyle w:val="Compact"/>
        <w:numPr>
          <w:ilvl w:val="0"/>
          <w:numId w:val="1001"/>
        </w:numPr>
      </w:pPr>
      <w:r>
        <w:t xml:space="preserve">Sentiment described as</w:t>
      </w:r>
      <w:r>
        <w:t xml:space="preserve"> </w:t>
      </w:r>
      <w:r>
        <w:rPr>
          <w:b/>
          <w:bCs/>
        </w:rPr>
        <w:t xml:space="preserve">cautious near-term</w:t>
      </w:r>
      <w:r>
        <w:t xml:space="preserve"> </w:t>
      </w:r>
      <w:r>
        <w:t xml:space="preserve">on lingering private-credit worries and a</w:t>
      </w:r>
      <w:r>
        <w:t xml:space="preserve"> </w:t>
      </w:r>
      <w:r>
        <w:rPr>
          <w:b/>
          <w:bCs/>
        </w:rPr>
        <w:t xml:space="preserve">mixed non-tech IPO backdrop</w:t>
      </w:r>
      <w:r>
        <w:t xml:space="preserve">, offset by an "unparalleled" franchise still gathering assets.</w:t>
      </w:r>
    </w:p>
    <w:p>
      <w:pPr>
        <w:pStyle w:val="FirstParagraph"/>
      </w:pPr>
      <w:r>
        <w:rPr>
          <w:b/>
          <w:bCs/>
        </w:rPr>
        <w:t xml:space="preserve">Where we came from (Q1'26 actuals, reported Apr 23):</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Q1'26</w:t>
            </w:r>
          </w:p>
        </w:tc>
        <w:tc>
          <w:tcPr/>
          <w:p>
            <w:pPr>
              <w:pStyle w:val="Compact"/>
            </w:pPr>
            <w:r>
              <w:t xml:space="preserve">YoY</w:t>
            </w:r>
          </w:p>
        </w:tc>
      </w:tr>
      <w:tr>
        <w:tc>
          <w:tcPr/>
          <w:p>
            <w:pPr>
              <w:pStyle w:val="Compact"/>
            </w:pPr>
            <w:r>
              <w:t xml:space="preserve">Distributable earnings</w:t>
            </w:r>
          </w:p>
        </w:tc>
        <w:tc>
          <w:tcPr/>
          <w:p>
            <w:pPr>
              <w:pStyle w:val="Compact"/>
            </w:pPr>
            <w:r>
              <w:t xml:space="preserve">$1.8B / $1.36 sh</w:t>
            </w:r>
          </w:p>
        </w:tc>
        <w:tc>
          <w:tcPr/>
          <w:p>
            <w:pPr>
              <w:pStyle w:val="Compact"/>
            </w:pPr>
            <w:r>
              <w:t xml:space="preserve">+25%</w:t>
            </w:r>
          </w:p>
        </w:tc>
      </w:tr>
      <w:tr>
        <w:tc>
          <w:tcPr/>
          <w:p>
            <w:pPr>
              <w:pStyle w:val="Compact"/>
            </w:pPr>
            <w:r>
              <w:t xml:space="preserve">Fee-related earnings (FRE)</w:t>
            </w:r>
          </w:p>
        </w:tc>
        <w:tc>
          <w:tcPr/>
          <w:p>
            <w:pPr>
              <w:pStyle w:val="Compact"/>
            </w:pPr>
            <w:r>
              <w:t xml:space="preserve">$1.5B / $1.26 sh</w:t>
            </w:r>
          </w:p>
        </w:tc>
        <w:tc>
          <w:tcPr/>
          <w:p>
            <w:pPr>
              <w:pStyle w:val="Compact"/>
            </w:pPr>
            <w:r>
              <w:t xml:space="preserve">+23%</w:t>
            </w:r>
          </w:p>
        </w:tc>
      </w:tr>
      <w:tr>
        <w:tc>
          <w:tcPr/>
          <w:p>
            <w:pPr>
              <w:pStyle w:val="Compact"/>
            </w:pPr>
            <w:r>
              <w:t xml:space="preserve">Total AUM</w:t>
            </w:r>
          </w:p>
        </w:tc>
        <w:tc>
          <w:tcPr/>
          <w:p>
            <w:pPr>
              <w:pStyle w:val="Compact"/>
            </w:pPr>
            <w:r>
              <w:t xml:space="preserve">$1.304T</w:t>
            </w:r>
          </w:p>
        </w:tc>
        <w:tc>
          <w:tcPr/>
          <w:p>
            <w:pPr>
              <w:pStyle w:val="Compact"/>
            </w:pPr>
            <w:r>
              <w:t xml:space="preserve">+12%</w:t>
            </w:r>
          </w:p>
        </w:tc>
      </w:tr>
      <w:tr>
        <w:tc>
          <w:tcPr/>
          <w:p>
            <w:pPr>
              <w:pStyle w:val="Compact"/>
            </w:pPr>
            <w:r>
              <w:t xml:space="preserve">Fee-earning AUM</w:t>
            </w:r>
          </w:p>
        </w:tc>
        <w:tc>
          <w:tcPr/>
          <w:p>
            <w:pPr>
              <w:pStyle w:val="Compact"/>
            </w:pPr>
            <w:r>
              <w:t xml:space="preserve">$937.6B</w:t>
            </w:r>
          </w:p>
        </w:tc>
        <w:tc>
          <w:tcPr/>
          <w:p>
            <w:pPr>
              <w:pStyle w:val="Compact"/>
            </w:pPr>
            <w:r>
              <w:t xml:space="preserve">+9%</w:t>
            </w:r>
          </w:p>
        </w:tc>
      </w:tr>
      <w:tr>
        <w:tc>
          <w:tcPr/>
          <w:p>
            <w:pPr>
              <w:pStyle w:val="Compact"/>
            </w:pPr>
            <w:r>
              <w:t xml:space="preserve">Perpetual capital AUM</w:t>
            </w:r>
          </w:p>
        </w:tc>
        <w:tc>
          <w:tcPr/>
          <w:p>
            <w:pPr>
              <w:pStyle w:val="Compact"/>
            </w:pPr>
            <w:r>
              <w:t xml:space="preserve">$539.7B</w:t>
            </w:r>
          </w:p>
        </w:tc>
        <w:tc>
          <w:tcPr/>
          <w:p>
            <w:pPr>
              <w:pStyle w:val="Compact"/>
            </w:pPr>
            <w:r>
              <w:t xml:space="preserve">+16%</w:t>
            </w:r>
          </w:p>
        </w:tc>
      </w:tr>
      <w:tr>
        <w:tc>
          <w:tcPr/>
          <w:p>
            <w:pPr>
              <w:pStyle w:val="Compact"/>
            </w:pPr>
            <w:r>
              <w:t xml:space="preserve">Inflows</w:t>
            </w:r>
          </w:p>
        </w:tc>
        <w:tc>
          <w:tcPr/>
          <w:p>
            <w:pPr>
              <w:pStyle w:val="Compact"/>
            </w:pPr>
            <w:r>
              <w:t xml:space="preserve">$68.5B (Q) / $246.3B (LTM)</w:t>
            </w:r>
          </w:p>
        </w:tc>
        <w:tc>
          <w:tcPr/>
          <w:p>
            <w:pPr>
              <w:pStyle w:val="Compact"/>
            </w:pPr>
            <w:r>
              <w:t xml:space="preserve">—</w:t>
            </w:r>
          </w:p>
        </w:tc>
      </w:tr>
      <w:tr>
        <w:tc>
          <w:tcPr/>
          <w:p>
            <w:pPr>
              <w:pStyle w:val="Compact"/>
            </w:pPr>
            <w:r>
              <w:t xml:space="preserve">Net accrued perf. revenue ("store of value")</w:t>
            </w:r>
          </w:p>
        </w:tc>
        <w:tc>
          <w:tcPr/>
          <w:p>
            <w:pPr>
              <w:pStyle w:val="Compact"/>
            </w:pPr>
            <w:r>
              <w:t xml:space="preserve">$7.0B / $5.69 sh</w:t>
            </w:r>
          </w:p>
        </w:tc>
        <w:tc>
          <w:tcPr/>
          <w:p>
            <w:pPr>
              <w:pStyle w:val="Compact"/>
            </w:pPr>
            <w:r>
              <w:t xml:space="preserve">+9%</w:t>
            </w:r>
          </w:p>
        </w:tc>
      </w:tr>
      <w:tr>
        <w:tc>
          <w:tcPr/>
          <w:p>
            <w:pPr>
              <w:pStyle w:val="Compact"/>
            </w:pPr>
            <w:r>
              <w:t xml:space="preserve">Dry powder</w:t>
            </w:r>
          </w:p>
        </w:tc>
        <w:tc>
          <w:tcPr/>
          <w:p>
            <w:pPr>
              <w:pStyle w:val="Compact"/>
            </w:pPr>
            <w:r>
              <w:t xml:space="preserve">$213.3B</w:t>
            </w:r>
          </w:p>
        </w:tc>
        <w:tc>
          <w:tcPr/>
          <w:p>
            <w:pPr>
              <w:pStyle w:val="Compact"/>
            </w:pPr>
            <w:r>
              <w:t xml:space="preserve">—</w:t>
            </w:r>
          </w:p>
        </w:tc>
      </w:tr>
      <w:tr>
        <w:tc>
          <w:tcPr/>
          <w:p>
            <w:pPr>
              <w:pStyle w:val="Compact"/>
            </w:pPr>
            <w:r>
              <w:t xml:space="preserve">Dividend</w:t>
            </w:r>
          </w:p>
        </w:tc>
        <w:tc>
          <w:tcPr/>
          <w:p>
            <w:pPr>
              <w:pStyle w:val="Compact"/>
            </w:pPr>
            <w:r>
              <w:t xml:space="preserve">$1.16</w:t>
            </w:r>
          </w:p>
        </w:tc>
        <w:tc>
          <w:tcPr/>
          <w:p>
            <w:pPr>
              <w:pStyle w:val="Compact"/>
            </w:pPr>
            <w:r>
              <w:t xml:space="preserve">—</w:t>
            </w:r>
          </w:p>
        </w:tc>
      </w:tr>
    </w:tbl>
    <w:p>
      <w:r>
        <w:pict>
          <v:rect style="width:0;height:1.5pt" o:hralign="center" o:hrstd="t" o:hr="t"/>
        </w:pict>
      </w:r>
    </w:p>
    <w:bookmarkEnd w:id="11"/>
    <w:bookmarkStart w:id="12" w:name="X102526758986ac3ba762efa35512a0b98601f23"/>
    <w:p>
      <w:pPr>
        <w:pStyle w:val="Heading2"/>
      </w:pPr>
      <w:r>
        <w:t xml:space="preserve">Stock context: a rough 2026 despite strong fundamentals</w:t>
      </w:r>
    </w:p>
    <w:p>
      <w:pPr>
        <w:pStyle w:val="FirstParagraph"/>
      </w:pPr>
      <w:r>
        <w:t xml:space="preserve">BX opened the year near</w:t>
      </w:r>
      <w:r>
        <w:t xml:space="preserve"> </w:t>
      </w:r>
      <m:oMath>
        <m:r>
          <m:t>159</m:t>
        </m:r>
        <m:r>
          <m:rPr>
            <m:sty m:val="p"/>
          </m:rPr>
          <m:t>*</m:t>
        </m:r>
        <m:r>
          <m:rPr>
            <m:sty m:val="p"/>
          </m:rPr>
          <m:t>*</m:t>
        </m:r>
        <m:r>
          <m:rPr>
            <m:sty m:val="p"/>
          </m:rPr>
          <m:t>,</m:t>
        </m:r>
        <m:r>
          <m:t>b</m:t>
        </m:r>
        <m:r>
          <m:t>o</m:t>
        </m:r>
        <m:r>
          <m:t>t</m:t>
        </m:r>
        <m:r>
          <m:t>t</m:t>
        </m:r>
        <m:r>
          <m:t>o</m:t>
        </m:r>
        <m:r>
          <m:t>m</m:t>
        </m:r>
        <m:r>
          <m:t>e</m:t>
        </m:r>
        <m:r>
          <m:t>d</m:t>
        </m:r>
        <m:r>
          <m:t>a</m:t>
        </m:r>
        <m:r>
          <m:t>r</m:t>
        </m:r>
        <m:r>
          <m:t>o</m:t>
        </m:r>
        <m:r>
          <m:t>u</m:t>
        </m:r>
        <m:r>
          <m:t>n</m:t>
        </m:r>
        <m:r>
          <m:t>d</m:t>
        </m:r>
        <m:r>
          <m:rPr>
            <m:sty m:val="p"/>
          </m:rPr>
          <m:t>*</m:t>
        </m:r>
        <m:r>
          <m:rPr>
            <m:sty m:val="p"/>
          </m:rPr>
          <m:t>*</m:t>
        </m:r>
      </m:oMath>
      <w:r>
        <w:rPr>
          <w:b/>
          <w:bCs/>
        </w:rPr>
        <w:t xml:space="preserve">102 in mid-March</w:t>
      </w:r>
      <w:r>
        <w:t xml:space="preserve">, and sits near</w:t>
      </w:r>
      <w:r>
        <w:t xml:space="preserve"> </w:t>
      </w:r>
      <w:r>
        <w:rPr>
          <w:b/>
          <w:bCs/>
        </w:rPr>
        <w:t xml:space="preserve">$123</w:t>
      </w:r>
      <w:r>
        <w:t xml:space="preserve"> </w:t>
      </w:r>
      <w:r>
        <w:t xml:space="preserve">into the print — roughly</w:t>
      </w:r>
      <w:r>
        <w:t xml:space="preserve"> </w:t>
      </w:r>
      <w:r>
        <w:rPr>
          <w:b/>
          <w:bCs/>
        </w:rPr>
        <w:t xml:space="preserve">‑23% YTD</w:t>
      </w:r>
      <w:r>
        <w:t xml:space="preserve">. It's been part of a broad de-rating of private-markets names: KKR is down ~26% and Apollo ~19% over the same stretch. The disconnect between record AUM/earnings and a falling multiple is the central tension — the market is discounting the private-credit overhang and slower realizations more than it is crediting the AI-infrastructure story. A "clean" quarter that de-risks the credit narrative could be a meaningful sentiment catalyst.</w:t>
      </w:r>
    </w:p>
    <w:p>
      <w:r>
        <w:pict>
          <v:rect style="width:0;height:1.5pt" o:hralign="center" o:hrstd="t" o:hr="t"/>
        </w:pict>
      </w:r>
    </w:p>
    <w:bookmarkEnd w:id="12"/>
    <w:bookmarkStart w:id="17" w:name="Xd1984d17e9779b3bfbd6460c6402daaf15152f8"/>
    <w:p>
      <w:pPr>
        <w:pStyle w:val="Heading2"/>
      </w:pPr>
      <w:r>
        <w:t xml:space="preserve">The four debates that will drive the reaction</w:t>
      </w:r>
    </w:p>
    <w:bookmarkStart w:id="13" w:name="X3976ba82d4c7ac0b3fd188dcf32994fe91ad654"/>
    <w:p>
      <w:pPr>
        <w:pStyle w:val="Heading3"/>
      </w:pPr>
      <w:r>
        <w:t xml:space="preserve">1) Private credit / BCRED — the swing factor for the stock</w:t>
      </w:r>
    </w:p>
    <w:p>
      <w:pPr>
        <w:pStyle w:val="FirstParagraph"/>
      </w:pPr>
      <w:r>
        <w:t xml:space="preserve">This is the single most important thing to watch. In Q1,</w:t>
      </w:r>
      <w:r>
        <w:t xml:space="preserve"> </w:t>
      </w:r>
      <w:r>
        <w:rPr>
          <w:b/>
          <w:bCs/>
        </w:rPr>
        <w:t xml:space="preserve">BCRED already saw net outflows of ~$1.4B</w:t>
      </w:r>
      <w:r>
        <w:t xml:space="preserve"> </w:t>
      </w:r>
      <w:r>
        <w:t xml:space="preserve">(gross sales $1.9B, rising repurchases). Then in</w:t>
      </w:r>
      <w:r>
        <w:t xml:space="preserve"> </w:t>
      </w:r>
      <w:r>
        <w:rPr>
          <w:b/>
          <w:bCs/>
        </w:rPr>
        <w:t xml:space="preserve">early June, BCRED capped withdrawals at the 5% quarterly gate</w:t>
      </w:r>
      <w:r>
        <w:t xml:space="preserve"> </w:t>
      </w:r>
      <w:r>
        <w:t xml:space="preserve">— a headline event that historically spooks the market. Notably, private-credit stocks</w:t>
      </w:r>
      <w:r>
        <w:t xml:space="preserve"> </w:t>
      </w:r>
      <w:r>
        <w:rPr>
          <w:i/>
          <w:iCs/>
        </w:rPr>
        <w:t xml:space="preserve">rose</w:t>
      </w:r>
      <w:r>
        <w:t xml:space="preserve"> </w:t>
      </w:r>
      <w:r>
        <w:t xml:space="preserve">anyway, with investors pointing to slowing redemptions and healthy borrower earnings; but a peer (Partners Group) capping a fund in early June had reignited sector jitters days earlier.</w:t>
      </w:r>
    </w:p>
    <w:p>
      <w:pPr>
        <w:pStyle w:val="BodyText"/>
      </w:pPr>
      <w:r>
        <w:t xml:space="preserve">Management's framing (and what to listen for on the call):</w:t>
      </w:r>
    </w:p>
    <w:p>
      <w:pPr>
        <w:pStyle w:val="Compact"/>
        <w:numPr>
          <w:ilvl w:val="0"/>
          <w:numId w:val="1002"/>
        </w:numPr>
      </w:pPr>
      <w:r>
        <w:t xml:space="preserve">The institutional/insurance side (~75% of the credit platform) has kept committing at scale, in "sharp contrast" to the wealth-channel noise. Watch for continued strength in **BXCI, investment-grade private credit (~$130B, +23% YoY), and asset-based finance (IABC, +29% fee-AUM)**.</w:t>
      </w:r>
    </w:p>
    <w:p>
      <w:pPr>
        <w:pStyle w:val="Compact"/>
        <w:numPr>
          <w:ilvl w:val="0"/>
          <w:numId w:val="1002"/>
        </w:numPr>
      </w:pPr>
      <w:r>
        <w:t xml:space="preserve">Portfolio health: BCRED's weighted-average mark was ~96.4% with bottom-5% loans below $0.70; borrower EBITDA growth low-double-digits; interest coverage improved to ~2.2x. Any deterioration in marks — especially in</w:t>
      </w:r>
      <w:r>
        <w:t xml:space="preserve"> </w:t>
      </w:r>
      <w:r>
        <w:rPr>
          <w:b/>
          <w:bCs/>
        </w:rPr>
        <w:t xml:space="preserve">software</w:t>
      </w:r>
      <w:r>
        <w:t xml:space="preserve"> </w:t>
      </w:r>
      <w:r>
        <w:t xml:space="preserve">— would be a red flag.</w:t>
      </w:r>
    </w:p>
    <w:p>
      <w:pPr>
        <w:pStyle w:val="Compact"/>
        <w:numPr>
          <w:ilvl w:val="0"/>
          <w:numId w:val="1002"/>
        </w:numPr>
      </w:pPr>
      <w:r>
        <w:t xml:space="preserve">The "BREIT playbook" thesis: management argues gates are a</w:t>
      </w:r>
      <w:r>
        <w:t xml:space="preserve"> </w:t>
      </w:r>
      <w:r>
        <w:rPr>
          <w:i/>
          <w:iCs/>
        </w:rPr>
        <w:t xml:space="preserve">feature</w:t>
      </w:r>
      <w:r>
        <w:t xml:space="preserve">, redemptions are concentrated in a small number of large holders, and performance ultimately wins back flows.</w:t>
      </w:r>
      <w:r>
        <w:t xml:space="preserve"> </w:t>
      </w:r>
      <w:r>
        <w:rPr>
          <w:b/>
          <w:bCs/>
        </w:rPr>
        <w:t xml:space="preserve">Whether BCRED redemptions peaked in Q2 or worsened after the gate</w:t>
      </w:r>
      <w:r>
        <w:t xml:space="preserve"> </w:t>
      </w:r>
      <w:r>
        <w:t xml:space="preserve">is the key data point.</w:t>
      </w:r>
    </w:p>
    <w:bookmarkEnd w:id="13"/>
    <w:bookmarkStart w:id="14" w:name="X6a9a304e35ce0c41f0eb065b78ae19ed6d67b42"/>
    <w:p>
      <w:pPr>
        <w:pStyle w:val="Heading3"/>
      </w:pPr>
      <w:r>
        <w:t xml:space="preserve">2) The AI-infrastructure / hard-asset engine — the bull case</w:t>
      </w:r>
    </w:p>
    <w:p>
      <w:pPr>
        <w:pStyle w:val="FirstParagraph"/>
      </w:pPr>
      <w:r>
        <w:t xml:space="preserve">This is where Blackstone is leaning hard, and Q2 was full of proof points:</w:t>
      </w:r>
    </w:p>
    <w:p>
      <w:pPr>
        <w:pStyle w:val="Compact"/>
        <w:numPr>
          <w:ilvl w:val="0"/>
          <w:numId w:val="1003"/>
        </w:numPr>
      </w:pPr>
      <w:r>
        <w:rPr>
          <w:b/>
          <w:bCs/>
        </w:rPr>
        <w:t xml:space="preserve">&gt;</w:t>
      </w:r>
      <m:oMath>
        <m:r>
          <m:t>150</m:t>
        </m:r>
        <m:r>
          <m:t>B</m:t>
        </m:r>
        <m:r>
          <m:t>d</m:t>
        </m:r>
        <m:r>
          <m:t>a</m:t>
        </m:r>
        <m:r>
          <m:t>t</m:t>
        </m:r>
        <m:r>
          <m:t>a</m:t>
        </m:r>
        <m:r>
          <m:rPr>
            <m:sty m:val="p"/>
          </m:rPr>
          <m:t>−</m:t>
        </m:r>
        <m:r>
          <m:t>c</m:t>
        </m:r>
        <m:r>
          <m:t>e</m:t>
        </m:r>
        <m:r>
          <m:t>n</m:t>
        </m:r>
        <m:r>
          <m:t>t</m:t>
        </m:r>
        <m:r>
          <m:t>e</m:t>
        </m:r>
        <m:r>
          <m:t>r</m:t>
        </m:r>
        <m:r>
          <m:t>p</m:t>
        </m:r>
        <m:r>
          <m:t>o</m:t>
        </m:r>
        <m:r>
          <m:t>r</m:t>
        </m:r>
        <m:r>
          <m:t>t</m:t>
        </m:r>
        <m:r>
          <m:t>f</m:t>
        </m:r>
        <m:r>
          <m:t>o</m:t>
        </m:r>
        <m:r>
          <m:t>l</m:t>
        </m:r>
        <m:r>
          <m:t>i</m:t>
        </m:r>
        <m:r>
          <m:t>o</m:t>
        </m:r>
        <m:r>
          <m:rPr>
            <m:sty m:val="p"/>
          </m:rPr>
          <m:t>+</m:t>
        </m:r>
        <m:r>
          <m:t> </m:t>
        </m:r>
      </m:oMath>
      <w:r>
        <w:rPr>
          <w:b/>
          <w:bCs/>
        </w:rPr>
        <w:t xml:space="preserve">160B prospective pipeline</w:t>
      </w:r>
      <w:r>
        <w:t xml:space="preserve">; infrastructure (BIP) was the top performer (+7.8% in Q1, ~25% LTM).</w:t>
      </w:r>
    </w:p>
    <w:p>
      <w:pPr>
        <w:pStyle w:val="Compact"/>
        <w:numPr>
          <w:ilvl w:val="0"/>
          <w:numId w:val="1003"/>
        </w:numPr>
      </w:pPr>
      <w:r>
        <w:t xml:space="preserve">Q2 deal flow: a</w:t>
      </w:r>
      <w:r>
        <w:t xml:space="preserve"> </w:t>
      </w:r>
      <m:oMath>
        <m:r>
          <m:t>5</m:t>
        </m:r>
        <m:r>
          <m:t>B</m:t>
        </m:r>
        <m:r>
          <m:t>G</m:t>
        </m:r>
        <m:r>
          <m:t>o</m:t>
        </m:r>
        <m:r>
          <m:t>o</m:t>
        </m:r>
        <m:r>
          <m:t>g</m:t>
        </m:r>
        <m:r>
          <m:t>l</m:t>
        </m:r>
        <m:r>
          <m:t>e</m:t>
        </m:r>
        <m:r>
          <m:t>A</m:t>
        </m:r>
        <m:r>
          <m:t>I</m:t>
        </m:r>
        <m:r>
          <m:rPr>
            <m:sty m:val="p"/>
          </m:rPr>
          <m:t>−</m:t>
        </m:r>
        <m:r>
          <m:t>c</m:t>
        </m:r>
        <m:r>
          <m:t>l</m:t>
        </m:r>
        <m:r>
          <m:t>o</m:t>
        </m:r>
        <m:r>
          <m:t>u</m:t>
        </m:r>
        <m:r>
          <m:t>d</m:t>
        </m:r>
        <m:r>
          <m:t>v</m:t>
        </m:r>
        <m:r>
          <m:t>e</m:t>
        </m:r>
        <m:r>
          <m:t>n</m:t>
        </m:r>
        <m:r>
          <m:t>t</m:t>
        </m:r>
        <m:r>
          <m:t>u</m:t>
        </m:r>
        <m:r>
          <m:t>r</m:t>
        </m:r>
        <m:r>
          <m:t>e</m:t>
        </m:r>
        <m:r>
          <m:rPr>
            <m:sty m:val="p"/>
          </m:rPr>
          <m:t>*</m:t>
        </m:r>
        <m:r>
          <m:rPr>
            <m:sty m:val="p"/>
          </m:rPr>
          <m:t>*</m:t>
        </m:r>
        <m:r>
          <m:rPr>
            <m:sty m:val="p"/>
          </m:rPr>
          <m:t>(</m:t>
        </m:r>
        <m:r>
          <m:t>500</m:t>
        </m:r>
        <m:r>
          <m:t>M</m:t>
        </m:r>
        <m:r>
          <m:t>W</m:t>
        </m:r>
        <m:r>
          <m:rPr>
            <m:sty m:val="p"/>
          </m:rPr>
          <m:t>)</m:t>
        </m:r>
        <m:r>
          <m:rPr>
            <m:sty m:val="p"/>
          </m:rPr>
          <m:t>,</m:t>
        </m:r>
        <m:r>
          <m:t>a</m:t>
        </m:r>
        <m:r>
          <m:rPr>
            <m:sty m:val="p"/>
          </m:rPr>
          <m:t>*</m:t>
        </m:r>
        <m:r>
          <m:rPr>
            <m:sty m:val="p"/>
          </m:rPr>
          <m:t>*</m:t>
        </m:r>
      </m:oMath>
      <w:r>
        <w:rPr>
          <w:b/>
          <w:bCs/>
        </w:rPr>
        <w:t xml:space="preserve">35B Broadcom/Apollo/Blackstone AI-infrastructure platform</w:t>
      </w:r>
      <w:r>
        <w:t xml:space="preserve">, a</w:t>
      </w:r>
      <w:r>
        <w:t xml:space="preserve"> </w:t>
      </w:r>
      <w:r>
        <w:rPr>
          <w:b/>
          <w:bCs/>
        </w:rPr>
        <w:t xml:space="preserve">~</w:t>
      </w:r>
      <m:oMath>
        <m:r>
          <m:t>30</m:t>
        </m:r>
        <m:r>
          <m:t>B</m:t>
        </m:r>
        <m:r>
          <m:t>J</m:t>
        </m:r>
        <m:r>
          <m:t>a</m:t>
        </m:r>
        <m:r>
          <m:t>p</m:t>
        </m:r>
        <m:r>
          <m:t>a</m:t>
        </m:r>
        <m:r>
          <m:t>n</m:t>
        </m:r>
        <m:r>
          <m:t>A</m:t>
        </m:r>
        <m:r>
          <m:t>I</m:t>
        </m:r>
        <m:r>
          <m:t>d</m:t>
        </m:r>
        <m:r>
          <m:t>a</m:t>
        </m:r>
        <m:r>
          <m:t>t</m:t>
        </m:r>
        <m:r>
          <m:t>a</m:t>
        </m:r>
        <m:r>
          <m:rPr>
            <m:sty m:val="p"/>
          </m:rPr>
          <m:t>−</m:t>
        </m:r>
        <m:r>
          <m:t>c</m:t>
        </m:r>
        <m:r>
          <m:t>e</m:t>
        </m:r>
        <m:r>
          <m:t>n</m:t>
        </m:r>
        <m:r>
          <m:t>t</m:t>
        </m:r>
        <m:r>
          <m:t>e</m:t>
        </m:r>
        <m:r>
          <m:t>r</m:t>
        </m:r>
        <m:r>
          <m:t>p</m:t>
        </m:r>
        <m:r>
          <m:t>l</m:t>
        </m:r>
        <m:r>
          <m:t>a</m:t>
        </m:r>
        <m:r>
          <m:t>n</m:t>
        </m:r>
        <m:r>
          <m:rPr>
            <m:sty m:val="p"/>
          </m:rPr>
          <m:t>*</m:t>
        </m:r>
        <m:r>
          <m:rPr>
            <m:sty m:val="p"/>
          </m:rPr>
          <m:t>*</m:t>
        </m:r>
        <m:r>
          <m:rPr>
            <m:sty m:val="p"/>
          </m:rPr>
          <m:t>,</m:t>
        </m:r>
        <m:r>
          <m:t>a</m:t>
        </m:r>
        <m:r>
          <m:t>n</m:t>
        </m:r>
        <m:r>
          <m:t>d</m:t>
        </m:r>
        <m:r>
          <m:t>a</m:t>
        </m:r>
        <m:r>
          <m:rPr>
            <m:sty m:val="p"/>
          </m:rPr>
          <m:t>*</m:t>
        </m:r>
        <m:r>
          <m:rPr>
            <m:sty m:val="p"/>
          </m:rPr>
          <m:t>*</m:t>
        </m:r>
      </m:oMath>
      <w:r>
        <w:rPr>
          <w:b/>
          <w:bCs/>
        </w:rPr>
        <w:t xml:space="preserve">5B+ Williams power-projects deal</w:t>
      </w:r>
      <w:r>
        <w:t xml:space="preserve"> </w:t>
      </w:r>
      <w:r>
        <w:t xml:space="preserve">(alongside Apollo/KKR).</w:t>
      </w:r>
    </w:p>
    <w:p>
      <w:pPr>
        <w:pStyle w:val="Compact"/>
        <w:numPr>
          <w:ilvl w:val="0"/>
          <w:numId w:val="1003"/>
        </w:numPr>
      </w:pPr>
      <w:r>
        <w:t xml:space="preserve">The</w:t>
      </w:r>
      <w:r>
        <w:t xml:space="preserve"> </w:t>
      </w:r>
      <w:r>
        <w:rPr>
          <w:b/>
          <w:bCs/>
        </w:rPr>
        <w:t xml:space="preserve">data-center REIT IPO</w:t>
      </w:r>
      <w:r>
        <w:t xml:space="preserve"> </w:t>
      </w:r>
      <w:r>
        <w:t xml:space="preserve">(seeking ~$1.75B) is a new monetization/fee vehicle to track.</w:t>
      </w:r>
    </w:p>
    <w:p>
      <w:pPr>
        <w:pStyle w:val="Compact"/>
        <w:numPr>
          <w:ilvl w:val="0"/>
          <w:numId w:val="1003"/>
        </w:numPr>
      </w:pPr>
      <w:r>
        <w:rPr>
          <w:b/>
          <w:bCs/>
        </w:rPr>
        <w:t xml:space="preserve">Watch item / risk:</w:t>
      </w:r>
      <w:r>
        <w:t xml:space="preserve"> </w:t>
      </w:r>
      <w:r>
        <w:t xml:space="preserve">QTS</w:t>
      </w:r>
      <w:r>
        <w:t xml:space="preserve"> </w:t>
      </w:r>
      <w:r>
        <w:rPr>
          <w:b/>
          <w:bCs/>
        </w:rPr>
        <w:t xml:space="preserve">abandoned a large Virginia data-center project in July</w:t>
      </w:r>
      <w:r>
        <w:t xml:space="preserve"> </w:t>
      </w:r>
      <w:r>
        <w:t xml:space="preserve">amid regulatory/legal opposition — a reminder that permitting and community pushback are rising headwinds for the buildout thesis. Expect questions on this.</w:t>
      </w:r>
    </w:p>
    <w:bookmarkEnd w:id="14"/>
    <w:bookmarkStart w:id="15" w:name="X2fe9445ffdd5b4e8917594c28a1656d1a6deb1a"/>
    <w:p>
      <w:pPr>
        <w:pStyle w:val="Heading3"/>
      </w:pPr>
      <w:r>
        <w:t xml:space="preserve">3) Realizations &amp; the IPO window — timing risk</w:t>
      </w:r>
    </w:p>
    <w:p>
      <w:pPr>
        <w:pStyle w:val="FirstParagraph"/>
      </w:pPr>
      <w:r>
        <w:t xml:space="preserve">Q1 net realizations were</w:t>
      </w:r>
      <w:r>
        <w:t xml:space="preserve"> </w:t>
      </w:r>
      <m:oMath>
        <m:r>
          <m:t>448</m:t>
        </m:r>
        <m:r>
          <m:t>M</m:t>
        </m:r>
        <m:r>
          <m:rPr>
            <m:sty m:val="p"/>
          </m:rPr>
          <m:t>(</m:t>
        </m:r>
        <m:r>
          <m:rPr>
            <m:sty m:val="p"/>
          </m:rPr>
          <m:t>+</m:t>
        </m:r>
        <m:r>
          <m:t>26</m:t>
        </m:r>
      </m:oMath>
      <w:r>
        <w:t xml:space="preserve">95), which risks keeping exit pipelines pushed out. On the positive side,</w:t>
      </w:r>
      <w:r>
        <w:t xml:space="preserve"> </w:t>
      </w:r>
      <w:r>
        <w:rPr>
          <w:b/>
          <w:bCs/>
        </w:rPr>
        <w:t xml:space="preserve">Blackstone-backed Jersey Mike's is prepping an ~$8B IPO</w:t>
      </w:r>
      <w:r>
        <w:t xml:space="preserve">. Watch commentary on the realized-performance-revenue cadence — ~1/3 of the PE net-accrued-perf receivable is now public, so BX has monetization optionality</w:t>
      </w:r>
      <w:r>
        <w:t xml:space="preserve"> </w:t>
      </w:r>
      <w:r>
        <w:rPr>
          <w:i/>
          <w:iCs/>
        </w:rPr>
        <w:t xml:space="preserve">if</w:t>
      </w:r>
      <w:r>
        <w:t xml:space="preserve"> </w:t>
      </w:r>
      <w:r>
        <w:t xml:space="preserve">markets cooperate.</w:t>
      </w:r>
    </w:p>
    <w:bookmarkEnd w:id="15"/>
    <w:bookmarkStart w:id="16" w:name="Xbd82c0b57ae18f8ed953070d35b6f91804ef80d"/>
    <w:p>
      <w:pPr>
        <w:pStyle w:val="Heading3"/>
      </w:pPr>
      <w:r>
        <w:t xml:space="preserve">4) Fee-related earnings trajectory &amp; margin</w:t>
      </w:r>
    </w:p>
    <w:p>
      <w:pPr>
        <w:pStyle w:val="FirstParagraph"/>
      </w:pPr>
      <w:r>
        <w:t xml:space="preserve">Management has guided that</w:t>
      </w:r>
      <w:r>
        <w:t xml:space="preserve"> </w:t>
      </w:r>
      <w:r>
        <w:rPr>
          <w:b/>
          <w:bCs/>
        </w:rPr>
        <w:t xml:space="preserve">base management fee growth is more moderate in the first half and accelerates in 2H/Q4</w:t>
      </w:r>
      <w:r>
        <w:t xml:space="preserve"> </w:t>
      </w:r>
      <w:r>
        <w:t xml:space="preserve">as newly raised drawdown funds (Asia PE, energy transition, Strategic Partners X, secondaries) come off fee holidays. Also flagged:</w:t>
      </w:r>
    </w:p>
    <w:p>
      <w:pPr>
        <w:pStyle w:val="Compact"/>
        <w:numPr>
          <w:ilvl w:val="0"/>
          <w:numId w:val="1004"/>
        </w:numPr>
      </w:pPr>
      <w:r>
        <w:rPr>
          <w:b/>
          <w:bCs/>
        </w:rPr>
        <w:t xml:space="preserve">Real estate management fees</w:t>
      </w:r>
      <w:r>
        <w:t xml:space="preserve"> </w:t>
      </w:r>
      <w:r>
        <w:t xml:space="preserve">remain a near-term headwind (opportunistic harvesting + Core+/BPP softness) but should "bottom out mid-year."</w:t>
      </w:r>
    </w:p>
    <w:p>
      <w:pPr>
        <w:pStyle w:val="Compact"/>
        <w:numPr>
          <w:ilvl w:val="0"/>
          <w:numId w:val="1004"/>
        </w:numPr>
      </w:pPr>
      <w:r>
        <w:rPr>
          <w:b/>
          <w:bCs/>
        </w:rPr>
        <w:t xml:space="preserve">Credit fee-AUM</w:t>
      </w:r>
      <w:r>
        <w:t xml:space="preserve"> </w:t>
      </w:r>
      <w:r>
        <w:t xml:space="preserve">decelerates near-term (BDC slowdown) even as the platform broadens;</w:t>
      </w:r>
      <w:r>
        <w:t xml:space="preserve"> </w:t>
      </w:r>
      <w:r>
        <w:rPr>
          <w:b/>
          <w:bCs/>
        </w:rPr>
        <w:t xml:space="preserve">$74B of credit dry powder</w:t>
      </w:r>
      <w:r>
        <w:t xml:space="preserve"> </w:t>
      </w:r>
      <w:r>
        <w:t xml:space="preserve">earns fees upon deployment.</w:t>
      </w:r>
    </w:p>
    <w:p>
      <w:pPr>
        <w:pStyle w:val="Compact"/>
        <w:numPr>
          <w:ilvl w:val="0"/>
          <w:numId w:val="1004"/>
        </w:numPr>
      </w:pPr>
      <w:r>
        <w:rPr>
          <w:b/>
          <w:bCs/>
        </w:rPr>
        <w:t xml:space="preserve">Equity-based comp</w:t>
      </w:r>
      <w:r>
        <w:t xml:space="preserve"> </w:t>
      </w:r>
      <w:r>
        <w:t xml:space="preserve">was elevated in Q1; management guided the</w:t>
      </w:r>
      <w:r>
        <w:t xml:space="preserve"> </w:t>
      </w:r>
      <w:r>
        <w:rPr>
          <w:i/>
          <w:iCs/>
        </w:rPr>
        <w:t xml:space="preserve">rate of growth</w:t>
      </w:r>
      <w:r>
        <w:t xml:space="preserve"> </w:t>
      </w:r>
      <w:r>
        <w:t xml:space="preserve">to be materially lower over the full year — watch the comp line for FRE-margin read-through.</w:t>
      </w:r>
    </w:p>
    <w:p>
      <w:r>
        <w:pict>
          <v:rect style="width:0;height:1.5pt" o:hralign="center" o:hrstd="t" o:hr="t"/>
        </w:pict>
      </w:r>
    </w:p>
    <w:bookmarkEnd w:id="16"/>
    <w:bookmarkEnd w:id="17"/>
    <w:bookmarkStart w:id="18" w:name="newstructural-items-to-watch"/>
    <w:p>
      <w:pPr>
        <w:pStyle w:val="Heading2"/>
      </w:pPr>
      <w:r>
        <w:t xml:space="preserve">New/structural items to watch</w:t>
      </w:r>
    </w:p>
    <w:p>
      <w:pPr>
        <w:pStyle w:val="Compact"/>
        <w:numPr>
          <w:ilvl w:val="0"/>
          <w:numId w:val="1005"/>
        </w:numPr>
      </w:pPr>
      <w:r>
        <w:rPr>
          <w:b/>
          <w:bCs/>
        </w:rPr>
        <w:t xml:space="preserve">Vanguard–Wellington–Blackstone alliance launched its first two funds on July 22</w:t>
      </w:r>
      <w:r>
        <w:t xml:space="preserve"> </w:t>
      </w:r>
      <w:r>
        <w:t xml:space="preserve">(initially via BofA/Merrill) — a landmark public-private partnership and a key long-term wealth-distribution catalyst. Any AUM/rollout detail would be notable.</w:t>
      </w:r>
    </w:p>
    <w:p>
      <w:pPr>
        <w:pStyle w:val="Compact"/>
        <w:numPr>
          <w:ilvl w:val="0"/>
          <w:numId w:val="1005"/>
        </w:numPr>
      </w:pPr>
      <w:r>
        <w:rPr>
          <w:b/>
          <w:bCs/>
        </w:rPr>
        <w:t xml:space="preserve">BXHF</w:t>
      </w:r>
      <w:r>
        <w:t xml:space="preserve"> </w:t>
      </w:r>
      <w:r>
        <w:t xml:space="preserve">— the new perpetual multi-strategy (more-liquid) wealth product leveraging BXMA — plus continued 401(k)/DC channel progress (DOL safe-harbor rulemaking).</w:t>
      </w:r>
    </w:p>
    <w:p>
      <w:pPr>
        <w:pStyle w:val="Compact"/>
        <w:numPr>
          <w:ilvl w:val="0"/>
          <w:numId w:val="1005"/>
        </w:numPr>
      </w:pPr>
      <w:r>
        <w:rPr>
          <w:b/>
          <w:bCs/>
        </w:rPr>
        <w:t xml:space="preserve">Perpetual-vehicle fee-related performance revenues</w:t>
      </w:r>
      <w:r>
        <w:t xml:space="preserve"> </w:t>
      </w:r>
      <w:r>
        <w:t xml:space="preserve">(BREIT, BXPE, BX Infra) — Q1 was +66% YoY; these crystallize on high-water-mark performance and are an increasingly important, less-lumpy earnings stream. BXPE (~</w:t>
      </w:r>
      <m:oMath>
        <m:r>
          <m:t>21</m:t>
        </m:r>
        <m:r>
          <m:t>B</m:t>
        </m:r>
        <m:r>
          <m:t>N</m:t>
        </m:r>
        <m:r>
          <m:t>A</m:t>
        </m:r>
        <m:r>
          <m:t>V</m:t>
        </m:r>
        <m:r>
          <m:rPr>
            <m:sty m:val="p"/>
          </m:rPr>
          <m:t>,</m:t>
        </m:r>
        <m:r>
          <m:t> </m:t>
        </m:r>
        <m:r>
          <m:t>18</m:t>
        </m:r>
      </m:oMath>
      <w:r>
        <w:t xml:space="preserve">5B) remain fast growers.</w:t>
      </w:r>
    </w:p>
    <w:p>
      <w:pPr>
        <w:pStyle w:val="Compact"/>
        <w:numPr>
          <w:ilvl w:val="0"/>
          <w:numId w:val="1005"/>
        </w:numPr>
      </w:pPr>
      <w:r>
        <w:rPr>
          <w:b/>
          <w:bCs/>
        </w:rPr>
        <w:t xml:space="preserve">BXMA</w:t>
      </w:r>
      <w:r>
        <w:t xml:space="preserve"> </w:t>
      </w:r>
      <w:r>
        <w:t xml:space="preserve">— crossed $100B, 24 straight positive quarters; management is clearly positioning it as the next growth leg, so watch flows.</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The likely reaction hinges less on whether BX beats the ~$1.33 estimate and more on</w:t>
      </w:r>
      <w:r>
        <w:t xml:space="preserve"> </w:t>
      </w:r>
      <w:r>
        <w:rPr>
          <w:b/>
          <w:bCs/>
        </w:rPr>
        <w:t xml:space="preserve">three qualitative reads: (1) did BCRED redemptions stabilize after the June gate; (2) is the AI-infrastructure/hard-asset performance still compounding; and (3) is the 2H realization + fee-acceleration story still intact despite the renewed Iran conflict.</w:t>
      </w:r>
      <w:r>
        <w:t xml:space="preserve"> </w:t>
      </w:r>
      <w:r>
        <w:t xml:space="preserve">With the stock down ~23% YTD and expectations reset lower, the bar on the print is modest — a credible de-risking of the credit narrative plus confirmation of the 2H FRE ramp is what bulls need. Conversely, weaker marks, an accelerating BCRED outflow, or a walk-back on realization timing would validate the multiple compression.</w:t>
      </w:r>
    </w:p>
    <w:p>
      <w:pPr>
        <w:pStyle w:val="BodyText"/>
      </w:pPr>
      <w:r>
        <w:rPr>
          <w:i/>
          <w:iCs/>
        </w:rPr>
        <w:t xml:space="preserve">Note: Figures are drawn from Blackstone's Q1'26 release/call and news flow through July 22, 2026. Q2 consensus (~</w:t>
      </w:r>
      <m:oMath>
        <m:r>
          <m:t>1.33</m:t>
        </m:r>
        <m:r>
          <m:t>E</m:t>
        </m:r>
        <m:r>
          <m:t>P</m:t>
        </m:r>
        <m:r>
          <m:t>S</m:t>
        </m:r>
        <m:r>
          <m:rPr>
            <m:sty m:val="p"/>
          </m:rPr>
          <m:t>,</m:t>
        </m:r>
        <m:r>
          <m:t> </m:t>
        </m:r>
      </m:oMath>
      <w:r>
        <w:rPr>
          <w:i/>
          <w:iCs/>
        </w:rPr>
        <w:t xml:space="preserve">54B inflows) is per a July 17 preview note; actual analyst estimates may vary.</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2026-07-23T00:35:37Z</dcterms:created>
  <dcterms:modified xsi:type="dcterms:W3CDTF">2026-07-23T00:35:37Z</dcterms:modified>
</cp:coreProperties>
</file>

<file path=docProps/custom.xml><?xml version="1.0" encoding="utf-8"?>
<Properties xmlns="http://schemas.openxmlformats.org/officeDocument/2006/custom-properties" xmlns:vt="http://schemas.openxmlformats.org/officeDocument/2006/docPropsVTypes"/>
</file>