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Now I have enough to write a comprehensive preview.# Blackstone Inc. (BX) — Q2 2026 Earnings Preview</w:t>
      </w:r>
    </w:p>
    <w:p>
      <w:pPr>
        <w:pStyle w:val="BodyText"/>
      </w:pPr>
      <w:r>
        <w:rPr>
          <w:b/>
          <w:bCs/>
        </w:rPr>
        <w:t xml:space="preserve">Report date:</w:t>
      </w:r>
      <w:r>
        <w:t xml:space="preserve"> </w:t>
      </w:r>
      <w:r>
        <w:t xml:space="preserve">Thursday, July 23, 2026, before market open (call at 9:00 a.m. ET)</w:t>
      </w:r>
    </w:p>
    <w:p>
      <w:r>
        <w:pict>
          <v:rect style="width:0;height:1.5pt" o:hralign="center" o:hrstd="t" o:hr="t"/>
        </w:pict>
      </w:r>
    </w:p>
    <w:bookmarkStart w:id="9" w:name="setup-into-the-print"/>
    <w:p>
      <w:pPr>
        <w:pStyle w:val="Heading2"/>
      </w:pPr>
      <w:r>
        <w:t xml:space="preserve">Setup Into the Print</w:t>
      </w:r>
    </w:p>
    <w:p>
      <w:pPr>
        <w:pStyle w:val="FirstParagraph"/>
      </w:pPr>
      <w:r>
        <w:t xml:space="preserve">Blackstone shares have been under significant pressure heading into this report. The stock closed around</w:t>
      </w:r>
      <w:r>
        <w:t xml:space="preserve"> </w:t>
      </w:r>
      <m:oMath>
        <m:r>
          <m:t>122.85</m:t>
        </m:r>
        <m:r>
          <m:rPr>
            <m:sty m:val="p"/>
          </m:rPr>
          <m:t>*</m:t>
        </m:r>
        <m:r>
          <m:rPr>
            <m:sty m:val="p"/>
          </m:rPr>
          <m:t>*</m:t>
        </m:r>
        <m:r>
          <m:t>o</m:t>
        </m:r>
        <m:r>
          <m:t>n</m:t>
        </m:r>
        <m:r>
          <m:t>J</m:t>
        </m:r>
        <m:r>
          <m:t>u</m:t>
        </m:r>
        <m:r>
          <m:t>l</m:t>
        </m:r>
        <m:r>
          <m:t>y</m:t>
        </m:r>
        <m:r>
          <m:t>22</m:t>
        </m:r>
        <m:r>
          <m:rPr>
            <m:sty m:val="p"/>
          </m:rPr>
          <m:t>,</m:t>
        </m:r>
        <m:r>
          <m:t>d</m:t>
        </m:r>
        <m:r>
          <m:t>o</m:t>
        </m:r>
        <m:r>
          <m:t>w</m:t>
        </m:r>
        <m:r>
          <m:t>n</m:t>
        </m:r>
        <m:r>
          <m:t>r</m:t>
        </m:r>
        <m:r>
          <m:t>o</m:t>
        </m:r>
        <m:r>
          <m:t>u</m:t>
        </m:r>
        <m:r>
          <m:t>g</m:t>
        </m:r>
        <m:r>
          <m:t>h</m:t>
        </m:r>
        <m:r>
          <m:t>l</m:t>
        </m:r>
        <m:r>
          <m:t>y</m:t>
        </m:r>
        <m:r>
          <m:rPr>
            <m:sty m:val="p"/>
          </m:rPr>
          <m:t>*</m:t>
        </m:r>
        <m:r>
          <m:rPr>
            <m:sty m:val="p"/>
          </m:rPr>
          <m:t>*</m:t>
        </m:r>
        <m:r>
          <m:t>23</m:t>
        </m:r>
      </m:oMath>
      <w:r>
        <w:rPr>
          <w:b/>
          <w:bCs/>
        </w:rPr>
        <w:t xml:space="preserve">189)</w:t>
      </w:r>
      <w:r>
        <w:t xml:space="preserve">, and down about</w:t>
      </w:r>
      <w:r>
        <w:t xml:space="preserve"> </w:t>
      </w:r>
      <w:r>
        <w:rPr>
          <w:b/>
          <w:bCs/>
        </w:rPr>
        <w:t xml:space="preserve">27% year-over-year</w:t>
      </w:r>
      <w:r>
        <w:t xml:space="preserve"> </w:t>
      </w:r>
      <w:r>
        <w:t xml:space="preserve">— a sharp underperformance versus the broader market. Sentiment has been dented by two intertwined narratives: persistent skepticism around private credit and a choppy IPO/realization backdrop, even as the firm's underlying franchise metrics continue to look strong. Sentiment is cautious in the immediate term due to persistent private credit worries and a mixed non-tech IPO backdrop, but the company's franchise is unparalleled and it continues to gather new assets robustly.</w:t>
      </w:r>
    </w:p>
    <w:bookmarkEnd w:id="9"/>
    <w:bookmarkStart w:id="10" w:name="consensus-expectations"/>
    <w:p>
      <w:pPr>
        <w:pStyle w:val="Heading2"/>
      </w:pPr>
      <w:r>
        <w:t xml:space="preserve">Consensus Expectations</w:t>
      </w:r>
    </w:p>
    <w:p>
      <w:pPr>
        <w:pStyle w:val="FirstParagraph"/>
      </w:pPr>
      <w:r>
        <w:t xml:space="preserve">Wall Street is looking for roughly</w:t>
      </w:r>
      <w:r>
        <w:t xml:space="preserve"> </w:t>
      </w:r>
      <m:oMath>
        <m:r>
          <m:t>1.31</m:t>
        </m:r>
        <m:r>
          <m:rPr>
            <m:sty m:val="p"/>
          </m:rPr>
          <m:t>–</m:t>
        </m:r>
      </m:oMath>
      <w:r>
        <w:rPr>
          <w:b/>
          <w:bCs/>
        </w:rPr>
        <w:t xml:space="preserve">1.34 in Distributable EPS</w:t>
      </w:r>
      <w:r>
        <w:t xml:space="preserve"> </w:t>
      </w:r>
      <w:r>
        <w:t xml:space="preserve">on revenue of about</w:t>
      </w:r>
      <w:r>
        <w:t xml:space="preserve"> </w:t>
      </w:r>
      <m:oMath>
        <m:r>
          <m:t>3.34</m:t>
        </m:r>
        <m:r>
          <m:rPr>
            <m:sty m:val="p"/>
          </m:rPr>
          <m:t>–</m:t>
        </m:r>
      </m:oMath>
      <w:r>
        <w:rPr>
          <w:b/>
          <w:bCs/>
        </w:rPr>
        <w:t xml:space="preserve">3.35 billion</w:t>
      </w:r>
      <w:r>
        <w:t xml:space="preserve">, alongside inflows of roughly</w:t>
      </w:r>
      <w:r>
        <w:t xml:space="preserve"> </w:t>
      </w:r>
      <w:r>
        <w:rPr>
          <w:b/>
          <w:bCs/>
        </w:rPr>
        <w:t xml:space="preserve">$54 billion</w:t>
      </w:r>
      <w:r>
        <w:t xml:space="preserve">. Analysts expect BX to report a profit of $1.34 per share on a diluted basis, up 10.7% from $1.21 per share in the year-ago quarter. The Zacks Consensus Estimate for revenues is pegged at $3.34 billion, which implies an 8.7% year-over-year improvement, while in the past seven days, the consensus estimate for earnings has been revised 1.5% lower to $1.31. Blackstone has a strong history of beating: BX has an impressive earnings surprise history, with earnings outpacing the Zacks Consensus Estimate in each of the trailing four quarters, and the average beat being 12.63%. Still, recent downward revisions in EPS and revenue estimates indicate more cautious expectations, despite Blackstone's strong track record of surpassing estimates.</w:t>
      </w:r>
    </w:p>
    <w:bookmarkEnd w:id="10"/>
    <w:bookmarkStart w:id="11" w:name="X8431697d6315ec442892c7f60ec07be26df58ef"/>
    <w:p>
      <w:pPr>
        <w:pStyle w:val="Heading2"/>
      </w:pPr>
      <w:r>
        <w:t xml:space="preserve">The Realization Pre-Announcement — A Key Data Point</w:t>
      </w:r>
    </w:p>
    <w:p>
      <w:pPr>
        <w:pStyle w:val="FirstParagraph"/>
      </w:pPr>
      <w:r>
        <w:t xml:space="preserve">On June 23, Blackstone issued an intra-quarter update that investors will be comparing results against. The company disclosed it</w:t>
      </w:r>
      <w:r>
        <w:t xml:space="preserve"> </w:t>
      </w:r>
      <w:r>
        <w:rPr>
          <w:b/>
          <w:bCs/>
        </w:rPr>
        <w:t xml:space="preserve">preliminarily expects total Realized Performance Revenues plus Realized Principal Investment Income of more than $500 million for the period April 1 – June 23, 2026</w:t>
      </w:r>
      <w:r>
        <w:t xml:space="preserve">, "almost entirely comprised of Realized Performance Revenues," and explicitly cautioned that the estimate excludes any realization activity after June 23 and is not indicative of the full quarter. For context, full-quarter realized performance revenue was $780 million in Q1'26 and $553 million in Q2'25, and analysts are modeling realized performance revenue of roughly $706 million plus $40 million of realized principal investment income for the full second quarter. The consensus estimate for realized performance revenues and realized principal investment income is pegged at $705.7 million and $40.1 million, respectively, versus $553.1 million and $29.4 million in Q2 2025. A number materially above/below this framework — inclusive of the last week of the quarter — will likely be the single biggest swing factor for the DE beat/miss.</w:t>
      </w:r>
    </w:p>
    <w:bookmarkEnd w:id="11"/>
    <w:bookmarkStart w:id="12" w:name="X223f82275284bcf981f24ae72d96762b39a7e0e"/>
    <w:p>
      <w:pPr>
        <w:pStyle w:val="Heading2"/>
      </w:pPr>
      <w:r>
        <w:t xml:space="preserve">What Happened Last Quarter (Q1 2026) — The Baseline</w:t>
      </w:r>
    </w:p>
    <w:p>
      <w:pPr>
        <w:pStyle w:val="FirstParagraph"/>
      </w:pPr>
      <w:r>
        <w:t xml:space="preserve">Blackstone's first quarter was strong on nearly every headline metric despite an unusually turbulent macro backdrop (Iran conflict, AI-disruption fears, private-credit noise):</w:t>
      </w:r>
    </w:p>
    <w:p>
      <w:pPr>
        <w:pStyle w:val="Compact"/>
        <w:numPr>
          <w:ilvl w:val="0"/>
          <w:numId w:val="1001"/>
        </w:numPr>
      </w:pPr>
      <w:r>
        <w:t xml:space="preserve">GAAP net income was $1.3 billion; Distributable Earnings were</w:t>
      </w:r>
      <w:r>
        <w:t xml:space="preserve"> </w:t>
      </w:r>
      <m:oMath>
        <m:r>
          <m:t>1.8</m:t>
        </m:r>
        <m:r>
          <m:t>b</m:t>
        </m:r>
        <m:r>
          <m:t>i</m:t>
        </m:r>
        <m:r>
          <m:t>l</m:t>
        </m:r>
        <m:r>
          <m:t>l</m:t>
        </m:r>
        <m:r>
          <m:t>i</m:t>
        </m:r>
        <m:r>
          <m:t>o</m:t>
        </m:r>
        <m:r>
          <m:t>n</m:t>
        </m:r>
        <m:r>
          <m:rPr>
            <m:sty m:val="p"/>
          </m:rPr>
          <m:t>,</m:t>
        </m:r>
        <m:r>
          <m:t>o</m:t>
        </m:r>
        <m:r>
          <m:t>r</m:t>
        </m:r>
        <m:r>
          <m:rPr>
            <m:sty m:val="p"/>
          </m:rPr>
          <m:t>*</m:t>
        </m:r>
        <m:r>
          <m:rPr>
            <m:sty m:val="p"/>
          </m:rPr>
          <m:t>*</m:t>
        </m:r>
      </m:oMath>
      <w:r>
        <w:t xml:space="preserve">1.36/share** (+25% YoY), and Fee Related Earnings were</w:t>
      </w:r>
      <w:r>
        <w:t xml:space="preserve"> </w:t>
      </w:r>
      <m:oMath>
        <m:r>
          <m:t>1.5</m:t>
        </m:r>
        <m:r>
          <m:t>b</m:t>
        </m:r>
        <m:r>
          <m:t>i</m:t>
        </m:r>
        <m:r>
          <m:t>l</m:t>
        </m:r>
        <m:r>
          <m:t>l</m:t>
        </m:r>
        <m:r>
          <m:t>i</m:t>
        </m:r>
        <m:r>
          <m:t>o</m:t>
        </m:r>
        <m:r>
          <m:t>n</m:t>
        </m:r>
        <m:r>
          <m:rPr>
            <m:sty m:val="p"/>
          </m:rPr>
          <m:t>,</m:t>
        </m:r>
        <m:r>
          <m:t>o</m:t>
        </m:r>
        <m:r>
          <m:t>r</m:t>
        </m:r>
        <m:r>
          <m:rPr>
            <m:sty m:val="p"/>
          </m:rPr>
          <m:t>*</m:t>
        </m:r>
        <m:r>
          <m:rPr>
            <m:sty m:val="p"/>
          </m:rPr>
          <m:t>*</m:t>
        </m:r>
      </m:oMath>
      <w:r>
        <w:t xml:space="preserve">1.26/share** (+23% YoY).</w:t>
      </w:r>
    </w:p>
    <w:p>
      <w:pPr>
        <w:pStyle w:val="Compact"/>
        <w:numPr>
          <w:ilvl w:val="0"/>
          <w:numId w:val="1001"/>
        </w:numPr>
      </w:pPr>
      <w:r>
        <w:t xml:space="preserve">Total AUM reached a record</w:t>
      </w:r>
      <w:r>
        <w:t xml:space="preserve"> </w:t>
      </w:r>
      <m:oMath>
        <m:r>
          <m:t>1</m:t>
        </m:r>
        <m:r>
          <m:rPr>
            <m:sty m:val="p"/>
          </m:rPr>
          <m:t>,</m:t>
        </m:r>
        <m:r>
          <m:t>304.0</m:t>
        </m:r>
        <m:r>
          <m:t>b</m:t>
        </m:r>
        <m:r>
          <m:t>i</m:t>
        </m:r>
        <m:r>
          <m:t>l</m:t>
        </m:r>
        <m:r>
          <m:t>l</m:t>
        </m:r>
        <m:r>
          <m:t>i</m:t>
        </m:r>
        <m:r>
          <m:t>o</m:t>
        </m:r>
        <m:r>
          <m:t>n</m:t>
        </m:r>
        <m:r>
          <m:rPr>
            <m:sty m:val="p"/>
          </m:rPr>
          <m:t>*</m:t>
        </m:r>
        <m:r>
          <m:rPr>
            <m:sty m:val="p"/>
          </m:rPr>
          <m:t>*</m:t>
        </m:r>
        <m:r>
          <m:rPr>
            <m:sty m:val="p"/>
          </m:rPr>
          <m:t>(</m:t>
        </m:r>
        <m:r>
          <m:rPr>
            <m:sty m:val="p"/>
          </m:rPr>
          <m:t>+</m:t>
        </m:r>
        <m:r>
          <m:t>12</m:t>
        </m:r>
      </m:oMath>
      <w:r>
        <w:rPr>
          <w:b/>
          <w:bCs/>
        </w:rPr>
        <w:t xml:space="preserve">68.5 billion of quarterly inflows</w:t>
      </w:r>
      <w:r>
        <w:t xml:space="preserve"> </w:t>
      </w:r>
      <w:r>
        <w:t xml:space="preserve">($246.3B LTM) and Fee-Earning AUM of $937.6 billion.</w:t>
      </w:r>
    </w:p>
    <w:p>
      <w:pPr>
        <w:pStyle w:val="Compact"/>
        <w:numPr>
          <w:ilvl w:val="0"/>
          <w:numId w:val="1001"/>
        </w:numPr>
      </w:pPr>
      <w:r>
        <w:t xml:space="preserve">Net Accrued Performance Revenue (the firm's embedded "store of value") rose to</w:t>
      </w:r>
      <w:r>
        <w:t xml:space="preserve"> </w:t>
      </w:r>
      <m:oMath>
        <m:r>
          <m:t>7.0</m:t>
        </m:r>
        <m:r>
          <m:t>b</m:t>
        </m:r>
        <m:r>
          <m:t>i</m:t>
        </m:r>
        <m:r>
          <m:t>l</m:t>
        </m:r>
        <m:r>
          <m:t>l</m:t>
        </m:r>
        <m:r>
          <m:t>i</m:t>
        </m:r>
        <m:r>
          <m:t>o</m:t>
        </m:r>
        <m:r>
          <m:t>n</m:t>
        </m:r>
        <m:r>
          <m:rPr>
            <m:sty m:val="p"/>
          </m:rPr>
          <m:t>(</m:t>
        </m:r>
      </m:oMath>
      <w:r>
        <w:rPr>
          <w:b/>
          <w:bCs/>
        </w:rPr>
        <w:t xml:space="preserve">5.69/share)</w:t>
      </w:r>
      <w:r>
        <w:t xml:space="preserve">, the highest level in 3.5 years.</w:t>
      </w:r>
    </w:p>
    <w:p>
      <w:pPr>
        <w:pStyle w:val="Compact"/>
        <w:numPr>
          <w:ilvl w:val="0"/>
          <w:numId w:val="1001"/>
        </w:numPr>
      </w:pPr>
      <w:r>
        <w:t xml:space="preserve">Nearly every flagship strategy posted positive appreciation, led by Infrastructure (+7.8% in the quarter, +25% LTM), even as major public equity and credit indices declined.</w:t>
      </w:r>
    </w:p>
    <w:p>
      <w:pPr>
        <w:pStyle w:val="FirstParagraph"/>
      </w:pPr>
      <w:r>
        <w:t xml:space="preserve">On the earnings call, management (Schwarzman, Gray, Chae) leaned heavily into three themes that should carry directly into the Q2 print:</w:t>
      </w:r>
    </w:p>
    <w:p>
      <w:pPr>
        <w:numPr>
          <w:ilvl w:val="0"/>
          <w:numId w:val="1002"/>
        </w:numPr>
      </w:pPr>
      <w:r>
        <w:rPr>
          <w:b/>
          <w:bCs/>
        </w:rPr>
        <w:t xml:space="preserve">AI/data-center infrastructure as the growth engine.</w:t>
      </w:r>
      <w:r>
        <w:t xml:space="preserve"> </w:t>
      </w:r>
      <w:r>
        <w:t xml:space="preserve">Blackstone characterizes itself as the largest private investor in AI-related infrastructure globally, with a &gt;$150 billion data-center portfolio (including construction) and a further $160 billion in prospective pipeline, plus major positions in the U.S. electric grid and natural gas pipelines that feed data-center power demand.</w:t>
      </w:r>
    </w:p>
    <w:p>
      <w:pPr>
        <w:numPr>
          <w:ilvl w:val="0"/>
          <w:numId w:val="1002"/>
        </w:numPr>
      </w:pPr>
      <w:r>
        <w:rPr>
          <w:b/>
          <w:bCs/>
        </w:rPr>
        <w:t xml:space="preserve">Private-credit "noise" vs. institutional reality.</w:t>
      </w:r>
      <w:r>
        <w:t xml:space="preserve"> </w:t>
      </w:r>
      <w:r>
        <w:t xml:space="preserve">Management pushed back hard on retail-driven redemption headlines around BCRED, noting BCRED saw</w:t>
      </w:r>
      <w:r>
        <w:t xml:space="preserve"> </w:t>
      </w:r>
      <w:r>
        <w:rPr>
          <w:b/>
          <w:bCs/>
        </w:rPr>
        <w:t xml:space="preserve">net outflows of $1.4 billion in Q1</w:t>
      </w:r>
      <w:r>
        <w:t xml:space="preserve"> </w:t>
      </w:r>
      <w:r>
        <w:t xml:space="preserve">even as gross sales continued, while institutional/insurance clients (75% of the credit platform) kept committing large-scale capital. The company reiterated confidence in premium returns over liquid credit (9.4% net since BCRED's inception) and defended fund structures/liquidity gates as "a feature, not a bug."</w:t>
      </w:r>
    </w:p>
    <w:p>
      <w:pPr>
        <w:numPr>
          <w:ilvl w:val="0"/>
          <w:numId w:val="1002"/>
        </w:numPr>
      </w:pPr>
      <w:r>
        <w:rPr>
          <w:b/>
          <w:bCs/>
        </w:rPr>
        <w:t xml:space="preserve">Fee growth cadence.</w:t>
      </w:r>
      <w:r>
        <w:t xml:space="preserve"> </w:t>
      </w:r>
      <w:r>
        <w:t xml:space="preserve">CFO Michael Chae guided to</w:t>
      </w:r>
      <w:r>
        <w:t xml:space="preserve"> </w:t>
      </w:r>
      <w:r>
        <w:rPr>
          <w:b/>
          <w:bCs/>
        </w:rPr>
        <w:t xml:space="preserve">moderate sequential base-management-fee growth in Q1/Q2, reaccelerating in H2 2026</w:t>
      </w:r>
      <w:r>
        <w:t xml:space="preserve"> </w:t>
      </w:r>
      <w:r>
        <w:t xml:space="preserve">as several large drawdown funds (Strategic Partners X, third Asia PE fund, new energy-transition fund) come off fee holidays, while flagging near-term deceleration in Credit &amp; Insurance fee-earning AUM and continued Real Estate headwinds (harvesting in opportunistic funds, BPP softness) that should trough mid-year.</w:t>
      </w:r>
    </w:p>
    <w:bookmarkEnd w:id="12"/>
    <w:bookmarkStart w:id="13" w:name="key-watch-items-for-q2"/>
    <w:p>
      <w:pPr>
        <w:pStyle w:val="Heading2"/>
      </w:pPr>
      <w:r>
        <w:t xml:space="preserve">Key Watch Items for Q2</w:t>
      </w:r>
    </w:p>
    <w:p>
      <w:pPr>
        <w:pStyle w:val="Compact"/>
        <w:numPr>
          <w:ilvl w:val="0"/>
          <w:numId w:val="1003"/>
        </w:numPr>
      </w:pPr>
      <w:r>
        <w:rPr>
          <w:b/>
          <w:bCs/>
        </w:rPr>
        <w:t xml:space="preserve">Private credit / BCRED flows:</w:t>
      </w:r>
      <w:r>
        <w:t xml:space="preserve"> </w:t>
      </w:r>
      <w:r>
        <w:t xml:space="preserve">Whether wealth-channel redemption pressure has stabilized or worsened, and commentary on institutional/insurance demand as an offset. Watch for updates on BCRED net flows, mark levels (portfolio was marked at 96.4% as of Q1) and borrower EBITDA/interest-coverage trends.</w:t>
      </w:r>
    </w:p>
    <w:p>
      <w:pPr>
        <w:pStyle w:val="Compact"/>
        <w:numPr>
          <w:ilvl w:val="0"/>
          <w:numId w:val="1003"/>
        </w:numPr>
      </w:pPr>
      <w:r>
        <w:rPr>
          <w:b/>
          <w:bCs/>
        </w:rPr>
        <w:t xml:space="preserve">Realization/monetization pace:</w:t>
      </w:r>
      <w:r>
        <w:t xml:space="preserve"> </w:t>
      </w:r>
      <w:r>
        <w:t xml:space="preserve">Whether the pre-announced &gt;$500M realization figure through June 23 grew meaningfully in the final week, and management's read on the IPO pipeline and exit environment (Gray flagged a "record" IPO ambition for 2026 despite a subdued non-tech backdrop, and geopolitical/market volatility that "pushed out exit pipelines" in the near term as of April).</w:t>
      </w:r>
    </w:p>
    <w:p>
      <w:pPr>
        <w:pStyle w:val="Compact"/>
        <w:numPr>
          <w:ilvl w:val="0"/>
          <w:numId w:val="1003"/>
        </w:numPr>
      </w:pPr>
      <w:r>
        <w:rPr>
          <w:b/>
          <w:bCs/>
        </w:rPr>
        <w:t xml:space="preserve">Fee-related earnings trajectory:</w:t>
      </w:r>
      <w:r>
        <w:t xml:space="preserve"> </w:t>
      </w:r>
      <w:r>
        <w:t xml:space="preserve">Base management fee growth by segment — particularly whether Credit &amp; Insurance deceleration and Real Estate softness bottomed as guided, and whether Private Equity, BXMA and Infrastructure sustained their double-digit growth.</w:t>
      </w:r>
    </w:p>
    <w:p>
      <w:pPr>
        <w:pStyle w:val="Compact"/>
        <w:numPr>
          <w:ilvl w:val="0"/>
          <w:numId w:val="1003"/>
        </w:numPr>
      </w:pPr>
      <w:r>
        <w:rPr>
          <w:b/>
          <w:bCs/>
        </w:rPr>
        <w:t xml:space="preserve">Fundraising/AUM growth:</w:t>
      </w:r>
      <w:r>
        <w:t xml:space="preserve"> </w:t>
      </w:r>
      <w:r>
        <w:t xml:space="preserve">Progress on new vehicles (BXHF multi-strategy product, the Vanguard/Wellington alliance funds that just launched, BX Infra, BXPE) and overall inflow pace relative to the ~$54B consensus estimate for the quarter (vs. $68.5B in Q1).</w:t>
      </w:r>
    </w:p>
    <w:p>
      <w:pPr>
        <w:pStyle w:val="Compact"/>
        <w:numPr>
          <w:ilvl w:val="0"/>
          <w:numId w:val="1003"/>
        </w:numPr>
      </w:pPr>
      <w:r>
        <w:rPr>
          <w:b/>
          <w:bCs/>
        </w:rPr>
        <w:t xml:space="preserve">AI infrastructure deal flow:</w:t>
      </w:r>
      <w:r>
        <w:t xml:space="preserve"> </w:t>
      </w:r>
      <w:r>
        <w:t xml:space="preserve">Follow-through on recently announced large-scale commitments — the</w:t>
      </w:r>
      <w:r>
        <w:t xml:space="preserve"> </w:t>
      </w:r>
      <w:r>
        <w:rPr>
          <w:b/>
          <w:bCs/>
        </w:rPr>
        <w:t xml:space="preserve">$35B Broadcom/Apollo/Blackstone AI "XPV" compute platform** anchoring Anthropic capacity, the **$</w:t>
      </w:r>
      <w:r>
        <w:rPr>
          <w:b/>
          <w:bCs/>
        </w:rPr>
        <w:t xml:space="preserve">5B+ Williams power-project partnership</w:t>
      </w:r>
      <w:r>
        <w:t xml:space="preserve"> </w:t>
      </w:r>
      <w:r>
        <w:t xml:space="preserve">(with Apollo and KKR), and reports of a</w:t>
      </w:r>
      <w:r>
        <w:t xml:space="preserve"> </w:t>
      </w:r>
      <w:r>
        <w:rPr>
          <w:b/>
          <w:bCs/>
        </w:rPr>
        <w:t xml:space="preserve">$30B, multi-year Japan AI data-center investment plan</w:t>
      </w:r>
      <w:r>
        <w:t xml:space="preserve">. These support the long-term AI infrastructure growth narrative even as near-term regulatory friction emerges.</w:t>
      </w:r>
    </w:p>
    <w:p>
      <w:pPr>
        <w:pStyle w:val="Compact"/>
        <w:numPr>
          <w:ilvl w:val="0"/>
          <w:numId w:val="1003"/>
        </w:numPr>
      </w:pPr>
      <w:r>
        <w:rPr>
          <w:b/>
          <w:bCs/>
        </w:rPr>
        <w:t xml:space="preserve">Data-center regulatory pushback:</w:t>
      </w:r>
      <w:r>
        <w:t xml:space="preserve"> </w:t>
      </w:r>
      <w:r>
        <w:t xml:space="preserve">QTS (Blackstone's data-center platform) abandoned an ~800-acre Virginia data-center project amid local/regulatory opposition — a reminder that permitting and community opposition are becoming real bottlenecks for the AI-infrastructure buildout thesis, even as demand remains robust.</w:t>
      </w:r>
    </w:p>
    <w:p>
      <w:pPr>
        <w:pStyle w:val="Compact"/>
        <w:numPr>
          <w:ilvl w:val="0"/>
          <w:numId w:val="1003"/>
        </w:numPr>
      </w:pPr>
      <w:r>
        <w:rPr>
          <w:b/>
          <w:bCs/>
        </w:rPr>
        <w:t xml:space="preserve">Real estate M&amp;A optionality:</w:t>
      </w:r>
      <w:r>
        <w:t xml:space="preserve"> </w:t>
      </w:r>
      <w:r>
        <w:t xml:space="preserve">Reported talks to acquire Canada's H&amp;R REIT (after a prior attempt fell apart) and the ongoing Corebridge/Equitable insurance-merger implications for Blackstone's ~$92.5B insurance IMA and its Corebridge equity stake.</w:t>
      </w:r>
    </w:p>
    <w:p>
      <w:pPr>
        <w:pStyle w:val="Compact"/>
        <w:numPr>
          <w:ilvl w:val="0"/>
          <w:numId w:val="1003"/>
        </w:numPr>
      </w:pPr>
      <w:r>
        <w:rPr>
          <w:b/>
          <w:bCs/>
        </w:rPr>
        <w:t xml:space="preserve">Capital return:</w:t>
      </w:r>
      <w:r>
        <w:t xml:space="preserve"> </w:t>
      </w:r>
      <w:r>
        <w:t xml:space="preserve">Watch the new quarterly dividend declaration (Q1 was</w:t>
      </w:r>
      <w:r>
        <w:t xml:space="preserve"> </w:t>
      </w:r>
      <m:oMath>
        <m:r>
          <m:t>1.16</m:t>
        </m:r>
        <m:r>
          <m:rPr>
            <m:sty m:val="p"/>
          </m:rPr>
          <m:t>/</m:t>
        </m:r>
        <m:r>
          <m:t>s</m:t>
        </m:r>
        <m:r>
          <m:t>h</m:t>
        </m:r>
        <m:r>
          <m:t>a</m:t>
        </m:r>
        <m:r>
          <m:t>r</m:t>
        </m:r>
        <m:r>
          <m:t>e</m:t>
        </m:r>
        <m:r>
          <m:rPr>
            <m:sty m:val="p"/>
          </m:rPr>
          <m:t>,</m:t>
        </m:r>
        <m:r>
          <m:t> </m:t>
        </m:r>
        <m:r>
          <m:t>85</m:t>
        </m:r>
      </m:oMath>
      <w:r>
        <w:t xml:space="preserve">1.7B of repurchase authorization remained as of Q1).</w:t>
      </w:r>
    </w:p>
    <w:p>
      <w:pPr>
        <w:pStyle w:val="Compact"/>
        <w:numPr>
          <w:ilvl w:val="0"/>
          <w:numId w:val="1003"/>
        </w:numPr>
      </w:pPr>
      <w:r>
        <w:rPr>
          <w:b/>
          <w:bCs/>
        </w:rPr>
        <w:t xml:space="preserve">Equity-based compensation cadence:</w:t>
      </w:r>
      <w:r>
        <w:t xml:space="preserve"> </w:t>
      </w:r>
      <w:r>
        <w:t xml:space="preserve">Chae flagged that stock-comp growth, elevated in Q1, should decelerate meaningfully as the year progresses — worth checking against Q2 actuals.</w:t>
      </w:r>
    </w:p>
    <w:bookmarkEnd w:id="13"/>
    <w:bookmarkStart w:id="14" w:name="macrosector-backdrop"/>
    <w:p>
      <w:pPr>
        <w:pStyle w:val="Heading2"/>
      </w:pPr>
      <w:r>
        <w:t xml:space="preserve">Macro/Sector Backdrop</w:t>
      </w:r>
    </w:p>
    <w:p>
      <w:pPr>
        <w:pStyle w:val="FirstParagraph"/>
      </w:pPr>
      <w:r>
        <w:t xml:space="preserve">Alternative-asset-manager peers are reporting into a similar setup: KKR reports July 30 and Apollo reports August 4, with Zacks consensus for KKR's Q2 EPS revised modestly upward (to</w:t>
      </w:r>
      <w:r>
        <w:t xml:space="preserve"> </w:t>
      </w:r>
      <m:oMath>
        <m:r>
          <m:t>1.43</m:t>
        </m:r>
        <m:r>
          <m:rPr>
            <m:sty m:val="p"/>
          </m:rPr>
          <m:t>)</m:t>
        </m:r>
        <m:r>
          <m:t>w</m:t>
        </m:r>
        <m:r>
          <m:t>h</m:t>
        </m:r>
        <m:r>
          <m:t>i</m:t>
        </m:r>
        <m:r>
          <m:t>l</m:t>
        </m:r>
        <m:r>
          <m:t>e</m:t>
        </m:r>
        <m:r>
          <m:t>A</m:t>
        </m:r>
        <m:r>
          <m:t>p</m:t>
        </m:r>
        <m:r>
          <m:t>o</m:t>
        </m:r>
        <m:r>
          <m:t>l</m:t>
        </m:r>
        <m:r>
          <m:t>l</m:t>
        </m:r>
        <m:sSup>
          <m:e>
            <m:r>
              <m:t>o</m:t>
            </m:r>
          </m:e>
          <m:sup>
            <m:r>
              <m:rPr>
                <m:sty m:val="p"/>
              </m:rPr>
              <m:t>′</m:t>
            </m:r>
          </m:sup>
        </m:sSup>
        <m:r>
          <m:t>s</m:t>
        </m:r>
        <m:r>
          <m:t>h</m:t>
        </m:r>
        <m:r>
          <m:t>a</m:t>
        </m:r>
        <m:r>
          <m:t>s</m:t>
        </m:r>
        <m:r>
          <m:t>b</m:t>
        </m:r>
        <m:r>
          <m:t>e</m:t>
        </m:r>
        <m:r>
          <m:t>e</m:t>
        </m:r>
        <m:r>
          <m:t>n</m:t>
        </m:r>
        <m:r>
          <m:t>u</m:t>
        </m:r>
        <m:r>
          <m:t>n</m:t>
        </m:r>
        <m:r>
          <m:t>c</m:t>
        </m:r>
        <m:r>
          <m:t>h</m:t>
        </m:r>
        <m:r>
          <m:t>a</m:t>
        </m:r>
        <m:r>
          <m:t>n</m:t>
        </m:r>
        <m:r>
          <m:t>g</m:t>
        </m:r>
        <m:r>
          <m:t>e</m:t>
        </m:r>
        <m:r>
          <m:t>d</m:t>
        </m:r>
        <m:r>
          <m:rPr>
            <m:sty m:val="p"/>
          </m:rPr>
          <m:t>(</m:t>
        </m:r>
        <m:r>
          <m:t> </m:t>
        </m:r>
      </m:oMath>
      <w:r>
        <w:t xml:space="preserve">2.21). Blackstone shares have gained 2.3% in the second quarter compared with the industry's rally of 4%, underperforming Apollo Global but outpacing KKR. More broadly, financials have generally posted solid Q2 prints this week (Wells Fargo, AT&amp;T, Southwest), and macro cross-currents — Middle East conflict/oil price spikes, AI capex debates, and software-sector deceleration signals from IBM/Pegasystems/ServiceNow — form the backdrop against which Blackstone's software-adjacent credit exposure (management noted software is &lt;7% of AUM but was the "at risk" pocket flagged repeatedly) will be scrutinized.</w:t>
      </w:r>
    </w:p>
    <w:bookmarkEnd w:id="14"/>
    <w:bookmarkStart w:id="15" w:name="bottom-line-for-investors"/>
    <w:p>
      <w:pPr>
        <w:pStyle w:val="Heading2"/>
      </w:pPr>
      <w:r>
        <w:t xml:space="preserve">Bottom Line for Investors</w:t>
      </w:r>
    </w:p>
    <w:p>
      <w:pPr>
        <w:pStyle w:val="FirstParagraph"/>
      </w:pPr>
      <w:r>
        <w:t xml:space="preserve">Going into Thursday's print, the setup is one of</w:t>
      </w:r>
      <w:r>
        <w:t xml:space="preserve"> </w:t>
      </w:r>
      <w:r>
        <w:rPr>
          <w:b/>
          <w:bCs/>
        </w:rPr>
        <w:t xml:space="preserve">solid fundamental momentum (record AUM, resilient fund performance, an unmatched AI-infrastructure franchise) colliding with a depressed, skeptical stock price</w:t>
      </w:r>
      <w:r>
        <w:t xml:space="preserve"> </w:t>
      </w:r>
      <w:r>
        <w:t xml:space="preserve">driven by private-credit headline risk and wealth-channel redemption jitters (BCRED specifically). The pre-announced realization figure provides a useful floor/anchor for Distributable Earnings, and consensus is already modest (EPS estimates have been trimmed in the past week). The key swing factors to watch on the call are: (1) whether BCRED flows stabilized, (2) whether base-fee deceleration in Credit &amp; Real Estate has bottomed as guided, and (3) any incremental color on the AI-infrastructure investment pipeline (Broadcom/Anthropic compute JV, Williams power deal, Japan data centers) as the long-term growth pillar that management continues to lean on to offset near-term retail-channel and regulatory noise.</w:t>
      </w:r>
    </w:p>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2026-07-23T00:37:51Z</dcterms:created>
  <dcterms:modified xsi:type="dcterms:W3CDTF">2026-07-23T00:37:51Z</dcterms:modified>
</cp:coreProperties>
</file>

<file path=docProps/custom.xml><?xml version="1.0" encoding="utf-8"?>
<Properties xmlns="http://schemas.openxmlformats.org/officeDocument/2006/custom-properties" xmlns:vt="http://schemas.openxmlformats.org/officeDocument/2006/docPropsVTypes"/>
</file>