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x-earnings-predictions--2026-07-23"/>
    <w:p>
      <w:pPr>
        <w:pStyle w:val="Heading1"/>
      </w:pPr>
      <w:r>
        <w:t xml:space="preserve">BX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Distributable earnings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~$1.35 vs. cons $1.33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Fee-related earnings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~$1.50B vs. cons $1.49B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inflows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~$58B vs. cons $54B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Base-management-fee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~10% YoY vs. cons 11% YoY (Q4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Realization-related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~$1.7B vs. cons $2.0B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BCRED net flows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</w:t>
            </w:r>
            <m:oMath>
              <m:r>
                <m:t>2.2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1.5B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-3.8% (FOLLOW-THROUGH)</w:t>
            </w:r>
          </w:p>
        </w:tc>
        <w:tc>
          <w:tcPr/>
          <w:p>
            <w:pPr>
              <w:pStyle w:val="Compact"/>
            </w:pPr>
            <w:r>
              <w:t xml:space="preserve">A modest reported beat is outweighed by weaker out-period assumptions: H2 2026 realization-related revenue of ~$1.7B vs. consensus $2.0B and Q4 2026 base-management-fee growth of ~10% vs. consensus 11%, driving estimate cuts after the print.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2026-07-23T00:38:06Z</dcterms:created>
  <dcterms:modified xsi:type="dcterms:W3CDTF">2026-07-23T00:38:06Z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