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bx-q2-2026-earnings-preview"/>
    <w:p>
      <w:pPr>
        <w:pStyle w:val="Heading1"/>
      </w:pPr>
      <w:r>
        <w:t xml:space="preserve">BX Q2 2026 Earnings Preview</w:t>
      </w:r>
    </w:p>
    <w:p>
      <w:pPr>
        <w:pStyle w:val="BlockText"/>
      </w:pPr>
      <w:r>
        <w:rPr>
          <w:b/>
          <w:bCs/>
        </w:rPr>
        <w:t xml:space="preserve">Timing note:</w:t>
      </w:r>
      <w:r>
        <w:t xml:space="preserve"> </w:t>
      </w:r>
      <w:r>
        <w:t xml:space="preserve">Blackstone’s Q2 earnings call is scheduled for</w:t>
      </w:r>
      <w:r>
        <w:t xml:space="preserve"> </w:t>
      </w:r>
      <w:r>
        <w:rPr>
          <w:b/>
          <w:bCs/>
        </w:rPr>
        <w:t xml:space="preserve">today, Thursday, July 23, 2026, at 9:00 a.m. ET</w:t>
      </w:r>
      <w:r>
        <w:t xml:space="preserve">—not tomorrow. (</w:t>
      </w:r>
      <w:hyperlink r:id="rId9">
        <w:r>
          <w:rPr>
            <w:rStyle w:val="Hyperlink"/>
          </w:rPr>
          <w:t xml:space="preserve">ir.blackstone.com</w:t>
        </w:r>
      </w:hyperlink>
      <w:r>
        <w:t xml:space="preserve">)</w:t>
      </w:r>
    </w:p>
    <w:bookmarkStart w:id="10" w:name="executive-view"/>
    <w:p>
      <w:pPr>
        <w:pStyle w:val="Heading2"/>
      </w:pPr>
      <w:r>
        <w:t xml:space="preserve">Executive view</w:t>
      </w:r>
    </w:p>
    <w:p>
      <w:pPr>
        <w:pStyle w:val="FirstParagraph"/>
      </w:pPr>
      <w:r>
        <w:t xml:space="preserve">The setup is balanced. Blackstone enters the report with strong firmwide fundraising, accelerating infrastructure and private-equity activity, and at least</w:t>
      </w:r>
      <w:r>
        <w:t xml:space="preserve"> </w:t>
      </w:r>
      <w:r>
        <w:rPr>
          <w:b/>
          <w:bCs/>
        </w:rPr>
        <w:t xml:space="preserve">$500 million of preliminary realization-related revenue</w:t>
      </w:r>
      <w:r>
        <w:t xml:space="preserve"> </w:t>
      </w:r>
      <w:r>
        <w:t xml:space="preserve">already identified for the quarter. The principal risk is no longer whether the franchise can raise institutional capital; it is whether persistent redemption pressure at</w:t>
      </w:r>
      <w:r>
        <w:t xml:space="preserve"> </w:t>
      </w:r>
      <w:r>
        <w:rPr>
          <w:b/>
          <w:bCs/>
        </w:rPr>
        <w:t xml:space="preserve">BCRED</w:t>
      </w:r>
      <w:r>
        <w:t xml:space="preserve"> </w:t>
      </w:r>
      <w:r>
        <w:t xml:space="preserve">will slow private-wealth growth and spill into recurring fees or the broader Blackstone brand.</w:t>
      </w:r>
    </w:p>
    <w:p>
      <w:pPr>
        <w:pStyle w:val="BodyText"/>
      </w:pPr>
      <w:r>
        <w:t xml:space="preserve">The headline earnings number matters, but the stock reaction should depend more on four items:</w:t>
      </w:r>
    </w:p>
    <w:p>
      <w:pPr>
        <w:pStyle w:val="Compact"/>
        <w:numPr>
          <w:ilvl w:val="0"/>
          <w:numId w:val="1001"/>
        </w:numPr>
      </w:pPr>
      <w:r>
        <w:rPr>
          <w:b/>
          <w:bCs/>
        </w:rPr>
        <w:t xml:space="preserve">BCRED redemptions, sales and credit marks</w:t>
      </w:r>
    </w:p>
    <w:p>
      <w:pPr>
        <w:pStyle w:val="Compact"/>
        <w:numPr>
          <w:ilvl w:val="0"/>
          <w:numId w:val="1001"/>
        </w:numPr>
      </w:pPr>
      <w:r>
        <w:rPr>
          <w:b/>
          <w:bCs/>
        </w:rPr>
        <w:t xml:space="preserve">Fee-related earnings and the timing of faster management-fee growth</w:t>
      </w:r>
    </w:p>
    <w:p>
      <w:pPr>
        <w:pStyle w:val="Compact"/>
        <w:numPr>
          <w:ilvl w:val="0"/>
          <w:numId w:val="1001"/>
        </w:numPr>
      </w:pPr>
      <w:r>
        <w:rPr>
          <w:b/>
          <w:bCs/>
        </w:rPr>
        <w:t xml:space="preserve">Realization momentum and the second-half exit pipeline</w:t>
      </w:r>
    </w:p>
    <w:p>
      <w:pPr>
        <w:pStyle w:val="Compact"/>
        <w:numPr>
          <w:ilvl w:val="0"/>
          <w:numId w:val="1001"/>
        </w:numPr>
      </w:pPr>
      <w:r>
        <w:rPr>
          <w:b/>
          <w:bCs/>
        </w:rPr>
        <w:t xml:space="preserve">Fundraising and deployment behind AI, digital infrastructure and power</w:t>
      </w:r>
    </w:p>
    <w:bookmarkEnd w:id="10"/>
    <w:bookmarkStart w:id="13" w:name="earnings-setup"/>
    <w:p>
      <w:pPr>
        <w:pStyle w:val="Heading2"/>
      </w:pPr>
      <w:r>
        <w:t xml:space="preserve">Earnings setup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Q1 2026 reference point</w:t>
            </w:r>
          </w:p>
        </w:tc>
        <w:tc>
          <w:tcPr/>
          <w:p>
            <w:pPr>
              <w:pStyle w:val="Compact"/>
            </w:pPr>
            <w:r>
              <w:t xml:space="preserve">Q2 focus</w:t>
            </w:r>
          </w:p>
        </w:tc>
      </w:tr>
      <w:tr>
        <w:tc>
          <w:tcPr/>
          <w:p>
            <w:pPr>
              <w:pStyle w:val="Compact"/>
            </w:pPr>
            <w:r>
              <w:t xml:space="preserve">Distributable earnings/share</w:t>
            </w:r>
          </w:p>
        </w:tc>
        <w:tc>
          <w:tcPr/>
          <w:p>
            <w:pPr>
              <w:pStyle w:val="Compact"/>
              <w:jc w:val="right"/>
            </w:pPr>
            <w:r>
              <w:rPr>
                <w:b/>
                <w:bCs/>
              </w:rPr>
              <w:t xml:space="preserve">$1.36</w:t>
            </w:r>
          </w:p>
        </w:tc>
        <w:tc>
          <w:tcPr/>
          <w:p>
            <w:pPr>
              <w:pStyle w:val="Compact"/>
            </w:pPr>
            <w:r>
              <w:t xml:space="preserve">Consensus indications cluster around</w:t>
            </w:r>
            <w:r>
              <w:t xml:space="preserve"> </w:t>
            </w:r>
            <m:oMath>
              <m:r>
                <m:t>1.33</m:t>
              </m:r>
              <m:r>
                <m:rPr>
                  <m:sty m:val="p"/>
                </m:rPr>
                <m:t>–</m:t>
              </m:r>
            </m:oMath>
            <w:r>
              <w:rPr>
                <w:b/>
                <w:bCs/>
              </w:rPr>
              <w:t xml:space="preserve">1.35</w:t>
            </w:r>
            <w:r>
              <w:t xml:space="preserve">, depending on vendor and earnings definition</w:t>
            </w:r>
          </w:p>
        </w:tc>
      </w:tr>
      <w:tr>
        <w:tc>
          <w:tcPr/>
          <w:p>
            <w:pPr>
              <w:pStyle w:val="Compact"/>
            </w:pPr>
            <w:r>
              <w:t xml:space="preserve">Fee-related earnings</w:t>
            </w:r>
          </w:p>
        </w:tc>
        <w:tc>
          <w:tcPr/>
          <w:p>
            <w:pPr>
              <w:pStyle w:val="Compact"/>
              <w:jc w:val="right"/>
            </w:pPr>
            <w:r>
              <w:rPr>
                <w:b/>
                <w:bCs/>
              </w:rPr>
              <w:t xml:space="preserve">$1.55B / $1.26 per share</w:t>
            </w:r>
          </w:p>
        </w:tc>
        <w:tc>
          <w:tcPr/>
          <w:p>
            <w:pPr>
              <w:pStyle w:val="Compact"/>
            </w:pPr>
            <w:r>
              <w:t xml:space="preserve">Whether recurring earnings can grow despite BCRED and real-estate fee headwinds</w:t>
            </w:r>
          </w:p>
        </w:tc>
      </w:tr>
      <w:tr>
        <w:tc>
          <w:tcPr/>
          <w:p>
            <w:pPr>
              <w:pStyle w:val="Compact"/>
            </w:pPr>
            <w:r>
              <w:t xml:space="preserve">Total AUM</w:t>
            </w:r>
          </w:p>
        </w:tc>
        <w:tc>
          <w:tcPr/>
          <w:p>
            <w:pPr>
              <w:pStyle w:val="Compact"/>
              <w:jc w:val="right"/>
            </w:pPr>
            <w:r>
              <w:rPr>
                <w:b/>
                <w:bCs/>
              </w:rPr>
              <w:t xml:space="preserve">$1.304T</w:t>
            </w:r>
          </w:p>
        </w:tc>
        <w:tc>
          <w:tcPr/>
          <w:p>
            <w:pPr>
              <w:pStyle w:val="Compact"/>
            </w:pPr>
            <w:r>
              <w:t xml:space="preserve">Continued double-digit growth would reinforce the structural story</w:t>
            </w:r>
          </w:p>
        </w:tc>
      </w:tr>
      <w:tr>
        <w:tc>
          <w:tcPr/>
          <w:p>
            <w:pPr>
              <w:pStyle w:val="Compact"/>
            </w:pPr>
            <w:r>
              <w:t xml:space="preserve">Fee-earning AUM</w:t>
            </w:r>
          </w:p>
        </w:tc>
        <w:tc>
          <w:tcPr/>
          <w:p>
            <w:pPr>
              <w:pStyle w:val="Compact"/>
              <w:jc w:val="right"/>
            </w:pPr>
            <w:r>
              <w:rPr>
                <w:b/>
                <w:bCs/>
              </w:rPr>
              <w:t xml:space="preserve">$937.6B</w:t>
            </w:r>
          </w:p>
        </w:tc>
        <w:tc>
          <w:tcPr/>
          <w:p>
            <w:pPr>
              <w:pStyle w:val="Compact"/>
            </w:pPr>
            <w:r>
              <w:t xml:space="preserve">More important than headline AUM for future management fees</w:t>
            </w:r>
          </w:p>
        </w:tc>
      </w:tr>
      <w:tr>
        <w:tc>
          <w:tcPr/>
          <w:p>
            <w:pPr>
              <w:pStyle w:val="Compact"/>
            </w:pPr>
            <w:r>
              <w:t xml:space="preserve">Quarterly inflows</w:t>
            </w:r>
          </w:p>
        </w:tc>
        <w:tc>
          <w:tcPr/>
          <w:p>
            <w:pPr>
              <w:pStyle w:val="Compact"/>
              <w:jc w:val="right"/>
            </w:pPr>
            <w:r>
              <w:rPr>
                <w:b/>
                <w:bCs/>
              </w:rPr>
              <w:t xml:space="preserve">$68.5B</w:t>
            </w:r>
          </w:p>
        </w:tc>
        <w:tc>
          <w:tcPr/>
          <w:p>
            <w:pPr>
              <w:pStyle w:val="Compact"/>
            </w:pPr>
            <w:r>
              <w:t xml:space="preserve">Mix matters: institutional/insurance strength versus wealth outflows</w:t>
            </w:r>
          </w:p>
        </w:tc>
      </w:tr>
      <w:tr>
        <w:tc>
          <w:tcPr/>
          <w:p>
            <w:pPr>
              <w:pStyle w:val="Compact"/>
            </w:pPr>
            <w:r>
              <w:t xml:space="preserve">Realized performance revenue</w:t>
            </w:r>
          </w:p>
        </w:tc>
        <w:tc>
          <w:tcPr/>
          <w:p>
            <w:pPr>
              <w:pStyle w:val="Compact"/>
              <w:jc w:val="right"/>
            </w:pPr>
            <w:r>
              <w:rPr>
                <w:b/>
                <w:bCs/>
              </w:rPr>
              <w:t xml:space="preserve">$780M</w:t>
            </w:r>
          </w:p>
        </w:tc>
        <w:tc>
          <w:tcPr/>
          <w:p>
            <w:pPr>
              <w:pStyle w:val="Compact"/>
            </w:pPr>
            <w:r>
              <w:t xml:space="preserve">Blackstone has preliminarily identified more than $500M of realization-related revenue through June 23</w:t>
            </w:r>
          </w:p>
        </w:tc>
      </w:tr>
      <w:tr>
        <w:tc>
          <w:tcPr/>
          <w:p>
            <w:pPr>
              <w:pStyle w:val="Compact"/>
            </w:pPr>
            <w:r>
              <w:t xml:space="preserve">Net accrued performance revenue</w:t>
            </w:r>
          </w:p>
        </w:tc>
        <w:tc>
          <w:tcPr/>
          <w:p>
            <w:pPr>
              <w:pStyle w:val="Compact"/>
              <w:jc w:val="right"/>
            </w:pPr>
            <w:r>
              <w:rPr>
                <w:b/>
                <w:bCs/>
              </w:rPr>
              <w:t xml:space="preserve">$7.0B</w:t>
            </w:r>
          </w:p>
        </w:tc>
        <w:tc>
          <w:tcPr/>
          <w:p>
            <w:pPr>
              <w:pStyle w:val="Compact"/>
            </w:pPr>
            <w:r>
              <w:t xml:space="preserve">Direction of the unrealized carry balance and the portion moving toward realization</w:t>
            </w:r>
          </w:p>
        </w:tc>
      </w:tr>
    </w:tbl>
    <w:p>
      <w:pPr>
        <w:pStyle w:val="BodyText"/>
      </w:pPr>
      <w:r>
        <w:t xml:space="preserve">Blackstone’s Q1 results were strong: distributable earnings increased 25% year over year, fee-related earnings rose 23%, total AUM grew 12%, and fee-earning AUM grew 9%. Perpetual capital AUM reached $539.7 billion, up 16%. (</w:t>
      </w:r>
      <w:hyperlink r:id="rId11">
        <w:r>
          <w:rPr>
            <w:rStyle w:val="Hyperlink"/>
          </w:rPr>
          <w:t xml:space="preserve">blackstone.com</w:t>
        </w:r>
      </w:hyperlink>
      <w:r>
        <w:t xml:space="preserve">)</w:t>
      </w:r>
    </w:p>
    <w:p>
      <w:pPr>
        <w:pStyle w:val="BodyText"/>
      </w:pPr>
      <w:r>
        <w:t xml:space="preserve">Published consensus estimates are not fully uniform: several sources point to approximately</w:t>
      </w:r>
      <w:r>
        <w:t xml:space="preserve"> </w:t>
      </w:r>
      <m:oMath>
        <m:r>
          <m:t>1.33</m:t>
        </m:r>
        <m:r>
          <m:rPr>
            <m:sty m:val="p"/>
          </m:rPr>
          <m:t>–</m:t>
        </m:r>
      </m:oMath>
      <w:r>
        <w:rPr>
          <w:b/>
          <w:bCs/>
        </w:rPr>
        <w:t xml:space="preserve">1.35 per share</w:t>
      </w:r>
      <w:r>
        <w:t xml:space="preserve">, while others are closer to $1.38. Investors should therefore focus less on a one- or two-cent “beat” and more on the underlying fee, flow and realization composition. (</w:t>
      </w:r>
      <w:hyperlink r:id="rId12">
        <w:r>
          <w:rPr>
            <w:rStyle w:val="Hyperlink"/>
          </w:rPr>
          <w:t xml:space="preserve">benzinga.com</w:t>
        </w:r>
      </w:hyperlink>
      <w:r>
        <w:t xml:space="preserve">)</w:t>
      </w:r>
    </w:p>
    <w:bookmarkEnd w:id="13"/>
    <w:bookmarkStart w:id="17" w:name="Xf021fb8503dca4099f991d4f6735215461cb246"/>
    <w:p>
      <w:pPr>
        <w:pStyle w:val="Heading2"/>
      </w:pPr>
      <w:r>
        <w:t xml:space="preserve">1. BCRED is the central issue</w:t>
      </w:r>
    </w:p>
    <w:p>
      <w:pPr>
        <w:pStyle w:val="FirstParagraph"/>
      </w:pPr>
      <w:r>
        <w:t xml:space="preserve">BCRED received repurchase requests equal to approximately</w:t>
      </w:r>
      <w:r>
        <w:t xml:space="preserve"> </w:t>
      </w:r>
      <w:r>
        <w:rPr>
          <w:b/>
          <w:bCs/>
        </w:rPr>
        <w:t xml:space="preserve">10% of outstanding shares in Q2</w:t>
      </w:r>
      <w:r>
        <w:t xml:space="preserve">, reportedly totaling about</w:t>
      </w:r>
      <w:r>
        <w:t xml:space="preserve"> </w:t>
      </w:r>
      <w:r>
        <w:rPr>
          <w:b/>
          <w:bCs/>
        </w:rPr>
        <w:t xml:space="preserve">$4.4 billion</w:t>
      </w:r>
      <w:r>
        <w:t xml:space="preserve">, versus 7.9% in Q1. The fund limited Q2 repurchases to its standard 5% quarterly cap after satisfying all Q1 requests. (</w:t>
      </w:r>
      <w:hyperlink r:id="rId14">
        <w:r>
          <w:rPr>
            <w:rStyle w:val="Hyperlink"/>
          </w:rPr>
          <w:t xml:space="preserve">investing.com</w:t>
        </w:r>
      </w:hyperlink>
      <w:r>
        <w:t xml:space="preserve">)</w:t>
      </w:r>
    </w:p>
    <w:p>
      <w:pPr>
        <w:pStyle w:val="BodyText"/>
      </w:pPr>
      <w:r>
        <w:t xml:space="preserve">That does not automatically imply a credit or liquidity crisis. BCRED’s structure explicitly permits quarterly repurchases of up to 5%, and its assets are intended to be held over longer periods. As of May 31, BCRED reported $78.7 billion of total investments, 97% senior-secured exposure and a 9.2% annualized inception-to-date Class I return. (</w:t>
      </w:r>
      <w:hyperlink r:id="rId15">
        <w:r>
          <w:rPr>
            <w:rStyle w:val="Hyperlink"/>
          </w:rPr>
          <w:t xml:space="preserve">bcred.com</w:t>
        </w:r>
      </w:hyperlink>
      <w:r>
        <w:t xml:space="preserve">)</w:t>
      </w:r>
    </w:p>
    <w:p>
      <w:pPr>
        <w:pStyle w:val="BodyText"/>
      </w:pPr>
      <w:r>
        <w:t xml:space="preserve">But for</w:t>
      </w:r>
      <w:r>
        <w:t xml:space="preserve"> </w:t>
      </w:r>
      <w:r>
        <w:rPr>
          <w:b/>
          <w:bCs/>
        </w:rPr>
        <w:t xml:space="preserve">BX shareholders</w:t>
      </w:r>
      <w:r>
        <w:t xml:space="preserve">, the issue is economically important:</w:t>
      </w:r>
    </w:p>
    <w:p>
      <w:pPr>
        <w:pStyle w:val="Compact"/>
        <w:numPr>
          <w:ilvl w:val="0"/>
          <w:numId w:val="1002"/>
        </w:numPr>
      </w:pPr>
      <w:r>
        <w:t xml:space="preserve">Redemptions reduce net asset value and management fees unless offset by new subscriptions.</w:t>
      </w:r>
    </w:p>
    <w:p>
      <w:pPr>
        <w:pStyle w:val="Compact"/>
        <w:numPr>
          <w:ilvl w:val="0"/>
          <w:numId w:val="1002"/>
        </w:numPr>
      </w:pPr>
      <w:r>
        <w:t xml:space="preserve">Persistent caps could make financial advisers more reluctant to allocate incremental capital.</w:t>
      </w:r>
    </w:p>
    <w:p>
      <w:pPr>
        <w:pStyle w:val="Compact"/>
        <w:numPr>
          <w:ilvl w:val="0"/>
          <w:numId w:val="1002"/>
        </w:numPr>
      </w:pPr>
      <w:r>
        <w:t xml:space="preserve">Negative private-credit headlines could affect other Blackstone wealth products.</w:t>
      </w:r>
    </w:p>
    <w:p>
      <w:pPr>
        <w:pStyle w:val="Compact"/>
        <w:numPr>
          <w:ilvl w:val="0"/>
          <w:numId w:val="1002"/>
        </w:numPr>
      </w:pPr>
      <w:r>
        <w:t xml:space="preserve">Any deterioration in portfolio marks, nonaccruals or realized losses would make the redemption narrative harder to dismiss.</w:t>
      </w:r>
    </w:p>
    <w:bookmarkStart w:id="16" w:name="what-to-listen-for"/>
    <w:p>
      <w:pPr>
        <w:pStyle w:val="Heading3"/>
      </w:pPr>
      <w:r>
        <w:t xml:space="preserve">What to listen for</w:t>
      </w:r>
    </w:p>
    <w:p>
      <w:pPr>
        <w:pStyle w:val="Compact"/>
        <w:numPr>
          <w:ilvl w:val="0"/>
          <w:numId w:val="1003"/>
        </w:numPr>
      </w:pPr>
      <w:r>
        <w:t xml:space="preserve">BCRED’s</w:t>
      </w:r>
      <w:r>
        <w:t xml:space="preserve"> </w:t>
      </w:r>
      <w:r>
        <w:rPr>
          <w:b/>
          <w:bCs/>
        </w:rPr>
        <w:t xml:space="preserve">gross sales, net flows and June exit rate</w:t>
      </w:r>
    </w:p>
    <w:p>
      <w:pPr>
        <w:pStyle w:val="Compact"/>
        <w:numPr>
          <w:ilvl w:val="0"/>
          <w:numId w:val="1003"/>
        </w:numPr>
      </w:pPr>
      <w:r>
        <w:t xml:space="preserve">Whether repurchase requests appear to have peaked</w:t>
      </w:r>
    </w:p>
    <w:p>
      <w:pPr>
        <w:pStyle w:val="Compact"/>
        <w:numPr>
          <w:ilvl w:val="0"/>
          <w:numId w:val="1003"/>
        </w:numPr>
      </w:pPr>
      <w:r>
        <w:t xml:space="preserve">Expected treatment of Q3 redemption requests</w:t>
      </w:r>
    </w:p>
    <w:p>
      <w:pPr>
        <w:pStyle w:val="Compact"/>
        <w:numPr>
          <w:ilvl w:val="0"/>
          <w:numId w:val="1003"/>
        </w:numPr>
      </w:pPr>
      <w:r>
        <w:t xml:space="preserve">Changes in the portfolio’s weighted-average mark</w:t>
      </w:r>
    </w:p>
    <w:p>
      <w:pPr>
        <w:pStyle w:val="Compact"/>
        <w:numPr>
          <w:ilvl w:val="0"/>
          <w:numId w:val="1003"/>
        </w:numPr>
      </w:pPr>
      <w:r>
        <w:t xml:space="preserve">Nonaccruals, loss reserves and interest coverage</w:t>
      </w:r>
    </w:p>
    <w:p>
      <w:pPr>
        <w:pStyle w:val="Compact"/>
        <w:numPr>
          <w:ilvl w:val="0"/>
          <w:numId w:val="1003"/>
        </w:numPr>
      </w:pPr>
      <w:r>
        <w:t xml:space="preserve">Performance of software borrowers and upcoming refinancing needs</w:t>
      </w:r>
    </w:p>
    <w:p>
      <w:pPr>
        <w:pStyle w:val="Compact"/>
        <w:numPr>
          <w:ilvl w:val="0"/>
          <w:numId w:val="1003"/>
        </w:numPr>
      </w:pPr>
      <w:r>
        <w:t xml:space="preserve">Whether institutional and insurance inflows continue to offset wealth-channel weakness</w:t>
      </w:r>
    </w:p>
    <w:p>
      <w:pPr>
        <w:pStyle w:val="FirstParagraph"/>
      </w:pPr>
      <w:r>
        <w:t xml:space="preserve">An acceptable result would be continued BCRED outflows but evidence that sales are stabilizing and portfolio fundamentals remain intact. A materially negative signal would be accelerating redemption requests accompanied by weaker marks or rising nonaccruals.</w:t>
      </w:r>
    </w:p>
    <w:bookmarkEnd w:id="16"/>
    <w:bookmarkEnd w:id="17"/>
    <w:bookmarkStart w:id="20" w:name="Xf8b6e3889f5957e2014bfd2b6e6c5123e88c991"/>
    <w:p>
      <w:pPr>
        <w:pStyle w:val="Heading2"/>
      </w:pPr>
      <w:r>
        <w:t xml:space="preserve">2. Recurring fee growth needs to remain the anchor</w:t>
      </w:r>
    </w:p>
    <w:p>
      <w:pPr>
        <w:pStyle w:val="FirstParagraph"/>
      </w:pPr>
      <w:r>
        <w:t xml:space="preserve">Q1 base management fees were approximately</w:t>
      </w:r>
      <w:r>
        <w:t xml:space="preserve"> </w:t>
      </w:r>
      <w:r>
        <w:rPr>
          <w:b/>
          <w:bCs/>
        </w:rPr>
        <w:t xml:space="preserve">$1.95 billion</w:t>
      </w:r>
      <w:r>
        <w:t xml:space="preserve">, while total management and advisory fees reached $2.13 billion. Management previously said sequential growth would likely be more moderate in Q2 and Q3, followed by acceleration later in 2026 as recently raised drawdown funds move through fee holidays and begin charging fees.</w:t>
      </w:r>
    </w:p>
    <w:p>
      <w:pPr>
        <w:pStyle w:val="BodyText"/>
      </w:pPr>
      <w:r>
        <w:t xml:space="preserve">The underlying fundraising pipeline remains favorable:</w:t>
      </w:r>
    </w:p>
    <w:p>
      <w:pPr>
        <w:pStyle w:val="Compact"/>
        <w:numPr>
          <w:ilvl w:val="0"/>
          <w:numId w:val="1004"/>
        </w:numPr>
      </w:pPr>
      <w:r>
        <w:t xml:space="preserve">Blackstone closed its third Asia private-equity flagship at</w:t>
      </w:r>
      <w:r>
        <w:t xml:space="preserve"> </w:t>
      </w:r>
      <w:r>
        <w:rPr>
          <w:b/>
          <w:bCs/>
        </w:rPr>
        <w:t xml:space="preserve">$13.1 billion</w:t>
      </w:r>
      <w:r>
        <w:t xml:space="preserve">, more than twice the predecessor fund.</w:t>
      </w:r>
    </w:p>
    <w:p>
      <w:pPr>
        <w:pStyle w:val="Compact"/>
        <w:numPr>
          <w:ilvl w:val="0"/>
          <w:numId w:val="1004"/>
        </w:numPr>
      </w:pPr>
      <w:r>
        <w:t xml:space="preserve">Q1 credit and insurance inflows totaled $37 billion.</w:t>
      </w:r>
    </w:p>
    <w:p>
      <w:pPr>
        <w:pStyle w:val="Compact"/>
        <w:numPr>
          <w:ilvl w:val="0"/>
          <w:numId w:val="1004"/>
        </w:numPr>
      </w:pPr>
      <w:r>
        <w:t xml:space="preserve">The firm had $213 billion of total dry powder at the end of March, including roughly $74 billion in credit and insurance, much of which earns fees only after deployment. (</w:t>
      </w:r>
      <w:hyperlink r:id="rId18">
        <w:r>
          <w:rPr>
            <w:rStyle w:val="Hyperlink"/>
          </w:rPr>
          <w:t xml:space="preserve">blackstone.com</w:t>
        </w:r>
      </w:hyperlink>
      <w:r>
        <w:t xml:space="preserve">)</w:t>
      </w:r>
    </w:p>
    <w:p>
      <w:pPr>
        <w:pStyle w:val="FirstParagraph"/>
      </w:pPr>
      <w:r>
        <w:t xml:space="preserve">This creates a timing issue: strong fundraising does not always translate immediately into reported fee revenue. Investors should distinguish between a soft sequential quarter caused by fee holidays and a more concerning slowdown in fundraising or deployment.</w:t>
      </w:r>
    </w:p>
    <w:bookmarkStart w:id="19" w:name="key-test"/>
    <w:p>
      <w:pPr>
        <w:pStyle w:val="Heading3"/>
      </w:pPr>
      <w:r>
        <w:t xml:space="preserve">Key test</w:t>
      </w:r>
    </w:p>
    <w:p>
      <w:pPr>
        <w:pStyle w:val="FirstParagraph"/>
      </w:pPr>
      <w:r>
        <w:t xml:space="preserve">A constructive report would preserve management’s expectation for a</w:t>
      </w:r>
      <w:r>
        <w:t xml:space="preserve"> </w:t>
      </w:r>
      <w:r>
        <w:rPr>
          <w:b/>
          <w:bCs/>
        </w:rPr>
        <w:t xml:space="preserve">late-2026 management-fee inflection</w:t>
      </w:r>
      <w:r>
        <w:t xml:space="preserve">. Any pushout into 2027 would weaken near-term earnings estimates, even if the long-term AUM story remains intact.</w:t>
      </w:r>
    </w:p>
    <w:bookmarkEnd w:id="19"/>
    <w:bookmarkEnd w:id="20"/>
    <w:bookmarkStart w:id="23" w:name="X48d632f8109ff0baf200d1fd49d38df70f5f3e5"/>
    <w:p>
      <w:pPr>
        <w:pStyle w:val="Heading2"/>
      </w:pPr>
      <w:r>
        <w:t xml:space="preserve">3. Realizations have some downside protection—but the outlook matters more</w:t>
      </w:r>
    </w:p>
    <w:p>
      <w:pPr>
        <w:pStyle w:val="FirstParagraph"/>
      </w:pPr>
      <w:r>
        <w:t xml:space="preserve">On June 23, Blackstone disclosed that it expected</w:t>
      </w:r>
      <w:r>
        <w:t xml:space="preserve"> </w:t>
      </w:r>
      <w:r>
        <w:rPr>
          <w:b/>
          <w:bCs/>
        </w:rPr>
        <w:t xml:space="preserve">more than $500 million</w:t>
      </w:r>
      <w:r>
        <w:t xml:space="preserve"> </w:t>
      </w:r>
      <w:r>
        <w:t xml:space="preserve">of combined realized performance revenue and realized principal investment income for the period from April 1 through June 23, almost entirely performance revenue. This was not full-quarter guidance and excluded subsequent activity, fee income and expenses. (</w:t>
      </w:r>
      <w:hyperlink r:id="rId21">
        <w:r>
          <w:rPr>
            <w:rStyle w:val="Hyperlink"/>
          </w:rPr>
          <w:t xml:space="preserve">blackstone.com</w:t>
        </w:r>
      </w:hyperlink>
      <w:r>
        <w:t xml:space="preserve">)</w:t>
      </w:r>
    </w:p>
    <w:p>
      <w:pPr>
        <w:pStyle w:val="BodyText"/>
      </w:pPr>
      <w:r>
        <w:t xml:space="preserve">That disclosure provides a useful starting point, although $500 million would be below Q1’s $780 million of realized performance revenue. The comparison is not exact because the Q2 update covered only part of the quarter and used a combined revenue definition.</w:t>
      </w:r>
    </w:p>
    <w:p>
      <w:pPr>
        <w:pStyle w:val="BodyText"/>
      </w:pPr>
      <w:r>
        <w:t xml:space="preserve">The June 30 sale of Blackstone’s interests in three Northern Virginia data centers to Digital Realty is also relevant. The assets carried a</w:t>
      </w:r>
      <w:r>
        <w:t xml:space="preserve"> </w:t>
      </w:r>
      <w:r>
        <w:rPr>
          <w:b/>
          <w:bCs/>
        </w:rPr>
        <w:t xml:space="preserve">$7.8 billion gross valuation</w:t>
      </w:r>
      <w:r>
        <w:t xml:space="preserve">, with Blackstone receiving $3.5 billion of consideration for its blended 64% stake, including cash and Digital Realty shares. The transaction validates the value of mature data-center assets and could support both realizations and portfolio marks. (</w:t>
      </w:r>
      <w:hyperlink r:id="rId22">
        <w:r>
          <w:rPr>
            <w:rStyle w:val="Hyperlink"/>
          </w:rPr>
          <w:t xml:space="preserve">blackstone.com</w:t>
        </w:r>
      </w:hyperlink>
      <w:r>
        <w:t xml:space="preserve">)</w:t>
      </w:r>
    </w:p>
    <w:p>
      <w:pPr>
        <w:pStyle w:val="BodyText"/>
      </w:pPr>
      <w:r>
        <w:t xml:space="preserve">Investors should focus on:</w:t>
      </w:r>
    </w:p>
    <w:p>
      <w:pPr>
        <w:pStyle w:val="Compact"/>
        <w:numPr>
          <w:ilvl w:val="0"/>
          <w:numId w:val="1005"/>
        </w:numPr>
      </w:pPr>
      <w:r>
        <w:t xml:space="preserve">The number and size of IPOs and secondary offerings expected in the second half</w:t>
      </w:r>
    </w:p>
    <w:p>
      <w:pPr>
        <w:pStyle w:val="Compact"/>
        <w:numPr>
          <w:ilvl w:val="0"/>
          <w:numId w:val="1005"/>
        </w:numPr>
      </w:pPr>
      <w:r>
        <w:t xml:space="preserve">Lockup expirations and monetization plans for public holdings</w:t>
      </w:r>
    </w:p>
    <w:p>
      <w:pPr>
        <w:pStyle w:val="Compact"/>
        <w:numPr>
          <w:ilvl w:val="0"/>
          <w:numId w:val="1005"/>
        </w:numPr>
      </w:pPr>
      <w:r>
        <w:t xml:space="preserve">Whether private-equity realization revenue can move sustainably above the Q2 level</w:t>
      </w:r>
    </w:p>
    <w:p>
      <w:pPr>
        <w:pStyle w:val="Compact"/>
        <w:numPr>
          <w:ilvl w:val="0"/>
          <w:numId w:val="1005"/>
        </w:numPr>
      </w:pPr>
      <w:r>
        <w:t xml:space="preserve">Strategic-sale activity in energy, infrastructure and data centers</w:t>
      </w:r>
    </w:p>
    <w:p>
      <w:pPr>
        <w:pStyle w:val="Compact"/>
        <w:numPr>
          <w:ilvl w:val="0"/>
          <w:numId w:val="1005"/>
        </w:numPr>
      </w:pPr>
      <w:r>
        <w:t xml:space="preserve">The outlook for the $7 billion accrued performance-revenue balance</w:t>
      </w:r>
    </w:p>
    <w:p>
      <w:pPr>
        <w:pStyle w:val="FirstParagraph"/>
      </w:pPr>
      <w:r>
        <w:t xml:space="preserve">A modest Q2 realization number could be forgiven if management presents a credible path to materially higher activity in the second half.</w:t>
      </w:r>
    </w:p>
    <w:bookmarkEnd w:id="23"/>
    <w:bookmarkStart w:id="25" w:name="X3afc2999ec5c60243bac9e222b40007a2c38c58"/>
    <w:p>
      <w:pPr>
        <w:pStyle w:val="Heading2"/>
      </w:pPr>
      <w:r>
        <w:t xml:space="preserve">4. AI and infrastructure remain the strongest performance engine</w:t>
      </w:r>
    </w:p>
    <w:p>
      <w:pPr>
        <w:pStyle w:val="FirstParagraph"/>
      </w:pPr>
      <w:r>
        <w:t xml:space="preserve">Infrastructure appreciated</w:t>
      </w:r>
      <w:r>
        <w:t xml:space="preserve"> </w:t>
      </w:r>
      <w:r>
        <w:rPr>
          <w:b/>
          <w:bCs/>
        </w:rPr>
        <w:t xml:space="preserve">7.8% in Q1</w:t>
      </w:r>
      <w:r>
        <w:t xml:space="preserve"> </w:t>
      </w:r>
      <w:r>
        <w:t xml:space="preserve">and 24.8% over the trailing 12 months, outperforming Blackstone’s other major strategies. Corporate private equity gained 3.2%, while opportunistic real estate declined 0.9% and Core+ real estate gained 0.8%. (</w:t>
      </w:r>
      <w:hyperlink r:id="rId11">
        <w:r>
          <w:rPr>
            <w:rStyle w:val="Hyperlink"/>
          </w:rPr>
          <w:t xml:space="preserve">blackstone.com</w:t>
        </w:r>
      </w:hyperlink>
      <w:r>
        <w:t xml:space="preserve">)</w:t>
      </w:r>
    </w:p>
    <w:p>
      <w:pPr>
        <w:pStyle w:val="BodyText"/>
      </w:pPr>
      <w:r>
        <w:t xml:space="preserve">Blackstone has continued to commit capital aggressively to the AI ecosystem. During Q2, it announced a joint venture with Google involving an initial</w:t>
      </w:r>
      <w:r>
        <w:t xml:space="preserve"> </w:t>
      </w:r>
      <w:r>
        <w:rPr>
          <w:b/>
          <w:bCs/>
        </w:rPr>
        <w:t xml:space="preserve">$5 billion equity commitment</w:t>
      </w:r>
      <w:r>
        <w:t xml:space="preserve"> </w:t>
      </w:r>
      <w:r>
        <w:t xml:space="preserve">to create a TPU-focused cloud and data-center platform. It also launched a publicly traded digital infrastructure vehicle designed to acquire stabilized data-center assets. (</w:t>
      </w:r>
      <w:hyperlink r:id="rId24">
        <w:r>
          <w:rPr>
            <w:rStyle w:val="Hyperlink"/>
          </w:rPr>
          <w:t xml:space="preserve">blackstone.com</w:t>
        </w:r>
      </w:hyperlink>
      <w:r>
        <w:t xml:space="preserve">)</w:t>
      </w:r>
    </w:p>
    <w:p>
      <w:pPr>
        <w:pStyle w:val="BodyText"/>
      </w:pPr>
      <w:r>
        <w:t xml:space="preserve">The opportunity is substantial, but investors should also test the durability of the thesis:</w:t>
      </w:r>
    </w:p>
    <w:p>
      <w:pPr>
        <w:pStyle w:val="Compact"/>
        <w:numPr>
          <w:ilvl w:val="0"/>
          <w:numId w:val="1006"/>
        </w:numPr>
      </w:pPr>
      <w:r>
        <w:t xml:space="preserve">Are data-center and power valuations rising faster than underlying economics?</w:t>
      </w:r>
    </w:p>
    <w:p>
      <w:pPr>
        <w:pStyle w:val="Compact"/>
        <w:numPr>
          <w:ilvl w:val="0"/>
          <w:numId w:val="1006"/>
        </w:numPr>
      </w:pPr>
      <w:r>
        <w:t xml:space="preserve">Are development timelines being delayed by power availability, permitting or community opposition?</w:t>
      </w:r>
    </w:p>
    <w:p>
      <w:pPr>
        <w:pStyle w:val="Compact"/>
        <w:numPr>
          <w:ilvl w:val="0"/>
          <w:numId w:val="1006"/>
        </w:numPr>
      </w:pPr>
      <w:r>
        <w:t xml:space="preserve">How much of recent infrastructure appreciation is operating growth versus multiple expansion?</w:t>
      </w:r>
    </w:p>
    <w:p>
      <w:pPr>
        <w:pStyle w:val="Compact"/>
        <w:numPr>
          <w:ilvl w:val="0"/>
          <w:numId w:val="1006"/>
        </w:numPr>
      </w:pPr>
      <w:r>
        <w:t xml:space="preserve">Can Blackstone monetize mature assets while continuing to deploy at attractive returns?</w:t>
      </w:r>
    </w:p>
    <w:p>
      <w:pPr>
        <w:pStyle w:val="Compact"/>
        <w:numPr>
          <w:ilvl w:val="0"/>
          <w:numId w:val="1006"/>
        </w:numPr>
      </w:pPr>
      <w:r>
        <w:t xml:space="preserve">Is exposure becoming overly concentrated across data centers, power and AI-related demand?</w:t>
      </w:r>
    </w:p>
    <w:p>
      <w:pPr>
        <w:pStyle w:val="FirstParagraph"/>
      </w:pPr>
      <w:r>
        <w:t xml:space="preserve">For Q2, another strong infrastructure mark would support accrued carry, fundraising and the broader narrative that Blackstone is one of the largest private-market beneficiaries of AI capital spending.</w:t>
      </w:r>
    </w:p>
    <w:bookmarkEnd w:id="25"/>
    <w:bookmarkStart w:id="26" w:name="X2f849f6ed7f2cf66108defd7679bc4a945c837d"/>
    <w:p>
      <w:pPr>
        <w:pStyle w:val="Heading2"/>
      </w:pPr>
      <w:r>
        <w:t xml:space="preserve">5. Real estate may be near an earnings trough</w:t>
      </w:r>
    </w:p>
    <w:p>
      <w:pPr>
        <w:pStyle w:val="FirstParagraph"/>
      </w:pPr>
      <w:r>
        <w:t xml:space="preserve">Real estate remains the least obvious source of near-term management-fee growth. Q1 real-estate management fees fell 3% year over year, while segment fee-earning AUM declined 2%, reflecting harvesting in older opportunistic funds and pressure within institutional Core+ strategies.</w:t>
      </w:r>
    </w:p>
    <w:p>
      <w:pPr>
        <w:pStyle w:val="BodyText"/>
      </w:pPr>
      <w:r>
        <w:t xml:space="preserve">The portfolio mix is better than the headline suggests. Data centers, logistics and rental housing should be more resilient than traditional office properties, and Blackstone has pointed to declining new supply in logistics and multifamily. Nevertheless, the report needs to show that:</w:t>
      </w:r>
    </w:p>
    <w:p>
      <w:pPr>
        <w:pStyle w:val="Compact"/>
        <w:numPr>
          <w:ilvl w:val="0"/>
          <w:numId w:val="1007"/>
        </w:numPr>
      </w:pPr>
      <w:r>
        <w:t xml:space="preserve">Opportunistic real-estate marks are stabilizing</w:t>
      </w:r>
    </w:p>
    <w:p>
      <w:pPr>
        <w:pStyle w:val="Compact"/>
        <w:numPr>
          <w:ilvl w:val="0"/>
          <w:numId w:val="1007"/>
        </w:numPr>
      </w:pPr>
      <w:r>
        <w:t xml:space="preserve">Core+ performance remains positive</w:t>
      </w:r>
    </w:p>
    <w:p>
      <w:pPr>
        <w:pStyle w:val="Compact"/>
        <w:numPr>
          <w:ilvl w:val="0"/>
          <w:numId w:val="1007"/>
        </w:numPr>
      </w:pPr>
      <w:r>
        <w:t xml:space="preserve">BREIT is generating sustainable net inflows</w:t>
      </w:r>
    </w:p>
    <w:p>
      <w:pPr>
        <w:pStyle w:val="Compact"/>
        <w:numPr>
          <w:ilvl w:val="0"/>
          <w:numId w:val="1007"/>
        </w:numPr>
      </w:pPr>
      <w:r>
        <w:t xml:space="preserve">Real-estate management fees are approaching a bottom</w:t>
      </w:r>
    </w:p>
    <w:p>
      <w:pPr>
        <w:pStyle w:val="Compact"/>
        <w:numPr>
          <w:ilvl w:val="0"/>
          <w:numId w:val="1007"/>
        </w:numPr>
      </w:pPr>
      <w:r>
        <w:t xml:space="preserve">Life-sciences office and other challenged exposures are adequately marked</w:t>
      </w:r>
    </w:p>
    <w:p>
      <w:pPr>
        <w:pStyle w:val="FirstParagraph"/>
      </w:pPr>
      <w:r>
        <w:t xml:space="preserve">A stabilization in real estate would matter disproportionately because infrastructure and credit are already performing well. Real estate shifting from a headwind to neutral could lift firmwide fee growth.</w:t>
      </w:r>
    </w:p>
    <w:bookmarkEnd w:id="26"/>
    <w:bookmarkStart w:id="28" w:name="X46affa87c333c78559b8cc489fa62921c28f70f"/>
    <w:p>
      <w:pPr>
        <w:pStyle w:val="Heading2"/>
      </w:pPr>
      <w:r>
        <w:t xml:space="preserve">6. Private wealth growth beyond BCRED</w:t>
      </w:r>
    </w:p>
    <w:p>
      <w:pPr>
        <w:pStyle w:val="FirstParagraph"/>
      </w:pPr>
      <w:r>
        <w:t xml:space="preserve">The launch of the first two Wellington–Vanguard–Blackstone funds is strategically positive, although it occurred after quarter-end. The products combine Blackstone’s private-market strategies with public-market exposures and will initially be distributed through Merrill and Bank of America Private Bank. (</w:t>
      </w:r>
      <w:hyperlink r:id="rId27">
        <w:r>
          <w:rPr>
            <w:rStyle w:val="Hyperlink"/>
          </w:rPr>
          <w:t xml:space="preserve">blackstone.com</w:t>
        </w:r>
      </w:hyperlink>
      <w:r>
        <w:t xml:space="preserve">)</w:t>
      </w:r>
    </w:p>
    <w:p>
      <w:pPr>
        <w:pStyle w:val="BodyText"/>
      </w:pPr>
      <w:r>
        <w:t xml:space="preserve">The announcement demonstrates that major distributors remain willing to work with Blackstone despite the BCRED controversy. However, the near-term economics may be limited; investors should seek clarity on:</w:t>
      </w:r>
    </w:p>
    <w:p>
      <w:pPr>
        <w:pStyle w:val="Compact"/>
        <w:numPr>
          <w:ilvl w:val="0"/>
          <w:numId w:val="1008"/>
        </w:numPr>
      </w:pPr>
      <w:r>
        <w:t xml:space="preserve">Fee rates and Blackstone’s share of economics</w:t>
      </w:r>
    </w:p>
    <w:p>
      <w:pPr>
        <w:pStyle w:val="Compact"/>
        <w:numPr>
          <w:ilvl w:val="0"/>
          <w:numId w:val="1008"/>
        </w:numPr>
      </w:pPr>
      <w:r>
        <w:t xml:space="preserve">Expected fundraising cadence</w:t>
      </w:r>
    </w:p>
    <w:p>
      <w:pPr>
        <w:pStyle w:val="Compact"/>
        <w:numPr>
          <w:ilvl w:val="0"/>
          <w:numId w:val="1008"/>
        </w:numPr>
      </w:pPr>
      <w:r>
        <w:t xml:space="preserve">When assets will enter Blackstone’s reported AUM</w:t>
      </w:r>
    </w:p>
    <w:p>
      <w:pPr>
        <w:pStyle w:val="Compact"/>
        <w:numPr>
          <w:ilvl w:val="0"/>
          <w:numId w:val="1008"/>
        </w:numPr>
      </w:pPr>
      <w:r>
        <w:t xml:space="preserve">Whether distribution expands beyond Bank of America</w:t>
      </w:r>
    </w:p>
    <w:p>
      <w:pPr>
        <w:pStyle w:val="Compact"/>
        <w:numPr>
          <w:ilvl w:val="0"/>
          <w:numId w:val="1008"/>
        </w:numPr>
      </w:pPr>
      <w:r>
        <w:t xml:space="preserve">Cannibalization versus genuinely incremental wealth assets</w:t>
      </w:r>
    </w:p>
    <w:p>
      <w:pPr>
        <w:pStyle w:val="FirstParagraph"/>
      </w:pPr>
      <w:r>
        <w:t xml:space="preserve">The broader question is whether strong fundraising in</w:t>
      </w:r>
      <w:r>
        <w:t xml:space="preserve"> </w:t>
      </w:r>
      <w:r>
        <w:rPr>
          <w:b/>
          <w:bCs/>
        </w:rPr>
        <w:t xml:space="preserve">BXPE, infrastructure and multi-asset products</w:t>
      </w:r>
      <w:r>
        <w:t xml:space="preserve"> </w:t>
      </w:r>
      <w:r>
        <w:t xml:space="preserve">can more than offset BCRED outflows.</w:t>
      </w:r>
    </w:p>
    <w:bookmarkEnd w:id="28"/>
    <w:bookmarkStart w:id="29" w:name="valuation-and-stock-setup"/>
    <w:p>
      <w:pPr>
        <w:pStyle w:val="Heading2"/>
      </w:pPr>
      <w:r>
        <w:t xml:space="preserve">Valuation and stock setup</w:t>
      </w:r>
    </w:p>
    <w:p>
      <w:pPr>
        <w:pStyle w:val="FirstParagraph"/>
      </w:pPr>
      <w:r>
        <w:t xml:space="preserve">BX ended July 22 at approximately</w:t>
      </w:r>
      <w:r>
        <w:t xml:space="preserve"> </w:t>
      </w:r>
      <w:r>
        <w:rPr>
          <w:b/>
          <w:bCs/>
        </w:rPr>
        <w:t xml:space="preserve">$122.82</w:t>
      </w:r>
      <w:r>
        <w:t xml:space="preserve">. Based on Q1 trailing-12-month distributable earnings of $5.84 per share, the shares trade at roughly</w:t>
      </w:r>
      <w:r>
        <w:t xml:space="preserve"> </w:t>
      </w:r>
      <w:r>
        <w:rPr>
          <w:b/>
          <w:bCs/>
        </w:rPr>
        <w:t xml:space="preserve">21 times trailing distributable earnings</w:t>
      </w:r>
      <w:r>
        <w:t xml:space="preserve">. The $4.97 of trailing distributions equates to an approximately</w:t>
      </w:r>
      <w:r>
        <w:t xml:space="preserve"> </w:t>
      </w:r>
      <w:r>
        <w:rPr>
          <w:b/>
          <w:bCs/>
        </w:rPr>
        <w:t xml:space="preserve">4% cash yield</w:t>
      </w:r>
      <w:r>
        <w:t xml:space="preserve">, although Blackstone’s dividend is variable and tied primarily to distributable earnings. (</w:t>
      </w:r>
      <w:hyperlink r:id="rId11">
        <w:r>
          <w:rPr>
            <w:rStyle w:val="Hyperlink"/>
          </w:rPr>
          <w:t xml:space="preserve">blackstone.com</w:t>
        </w:r>
      </w:hyperlink>
      <w:r>
        <w:t xml:space="preserve">)</w:t>
      </w:r>
    </w:p>
    <w:p>
      <w:pPr>
        <w:pStyle w:val="BodyText"/>
      </w:pPr>
      <w:r>
        <w:t xml:space="preserve">That is not a distressed valuation. The market is still assigning meaningful value to Blackstone’s fundraising franchise, infrastructure positioning and long-term private-wealth opportunity. Consequently, an earnings beat driven solely by volatile realizations may not be enough; investors will likely demand evidence that recurring fee growth and wealth flows remain durable.</w:t>
      </w:r>
    </w:p>
    <w:bookmarkEnd w:id="29"/>
    <w:bookmarkStart w:id="33" w:name="scenario-framework"/>
    <w:p>
      <w:pPr>
        <w:pStyle w:val="Heading2"/>
      </w:pPr>
      <w:r>
        <w:t xml:space="preserve">Scenario framework</w:t>
      </w:r>
    </w:p>
    <w:bookmarkStart w:id="30" w:name="bull-case"/>
    <w:p>
      <w:pPr>
        <w:pStyle w:val="Heading3"/>
      </w:pPr>
      <w:r>
        <w:t xml:space="preserve">Bull case</w:t>
      </w:r>
    </w:p>
    <w:p>
      <w:pPr>
        <w:pStyle w:val="Compact"/>
        <w:numPr>
          <w:ilvl w:val="0"/>
          <w:numId w:val="1009"/>
        </w:numPr>
      </w:pPr>
      <w:r>
        <w:t xml:space="preserve">DE per share exceeds the upper end of the roughly</w:t>
      </w:r>
      <w:r>
        <w:t xml:space="preserve"> </w:t>
      </w:r>
      <m:oMath>
        <m:r>
          <m:t>1.33</m:t>
        </m:r>
        <m:r>
          <m:rPr>
            <m:sty m:val="p"/>
          </m:rPr>
          <m:t>–</m:t>
        </m:r>
      </m:oMath>
      <w:r>
        <w:t xml:space="preserve">1.35 consensus range</w:t>
      </w:r>
    </w:p>
    <w:p>
      <w:pPr>
        <w:pStyle w:val="Compact"/>
        <w:numPr>
          <w:ilvl w:val="0"/>
          <w:numId w:val="1009"/>
        </w:numPr>
      </w:pPr>
      <w:r>
        <w:t xml:space="preserve">BCRED sales improve late in the quarter and redemption pressure appears to be peaking</w:t>
      </w:r>
    </w:p>
    <w:p>
      <w:pPr>
        <w:pStyle w:val="Compact"/>
        <w:numPr>
          <w:ilvl w:val="0"/>
          <w:numId w:val="1009"/>
        </w:numPr>
      </w:pPr>
      <w:r>
        <w:t xml:space="preserve">Credit marks and nonaccruals remain stable</w:t>
      </w:r>
    </w:p>
    <w:p>
      <w:pPr>
        <w:pStyle w:val="Compact"/>
        <w:numPr>
          <w:ilvl w:val="0"/>
          <w:numId w:val="1009"/>
        </w:numPr>
      </w:pPr>
      <w:r>
        <w:t xml:space="preserve">Fee-earning AUM and management fees exceed expectations</w:t>
      </w:r>
    </w:p>
    <w:p>
      <w:pPr>
        <w:pStyle w:val="Compact"/>
        <w:numPr>
          <w:ilvl w:val="0"/>
          <w:numId w:val="1009"/>
        </w:numPr>
      </w:pPr>
      <w:r>
        <w:t xml:space="preserve">Infrastructure and private-equity appreciation lift accrued carry</w:t>
      </w:r>
    </w:p>
    <w:p>
      <w:pPr>
        <w:pStyle w:val="Compact"/>
        <w:numPr>
          <w:ilvl w:val="0"/>
          <w:numId w:val="1009"/>
        </w:numPr>
      </w:pPr>
      <w:r>
        <w:t xml:space="preserve">Management signals a strong second-half realization pipeline</w:t>
      </w:r>
    </w:p>
    <w:p>
      <w:pPr>
        <w:pStyle w:val="Compact"/>
        <w:numPr>
          <w:ilvl w:val="0"/>
          <w:numId w:val="1009"/>
        </w:numPr>
      </w:pPr>
      <w:r>
        <w:t xml:space="preserve">Late-2026 fee acceleration remains firmly on schedule</w:t>
      </w:r>
    </w:p>
    <w:bookmarkEnd w:id="30"/>
    <w:bookmarkStart w:id="31" w:name="base-case"/>
    <w:p>
      <w:pPr>
        <w:pStyle w:val="Heading3"/>
      </w:pPr>
      <w:r>
        <w:t xml:space="preserve">Base case</w:t>
      </w:r>
    </w:p>
    <w:p>
      <w:pPr>
        <w:pStyle w:val="Compact"/>
        <w:numPr>
          <w:ilvl w:val="0"/>
          <w:numId w:val="1010"/>
        </w:numPr>
      </w:pPr>
      <w:r>
        <w:t xml:space="preserve">Earnings are approximately in line</w:t>
      </w:r>
    </w:p>
    <w:p>
      <w:pPr>
        <w:pStyle w:val="Compact"/>
        <w:numPr>
          <w:ilvl w:val="0"/>
          <w:numId w:val="1010"/>
        </w:numPr>
      </w:pPr>
      <w:r>
        <w:t xml:space="preserve">BCRED posts another meaningful net outflow, but credit performance remains sound</w:t>
      </w:r>
    </w:p>
    <w:p>
      <w:pPr>
        <w:pStyle w:val="Compact"/>
        <w:numPr>
          <w:ilvl w:val="0"/>
          <w:numId w:val="1010"/>
        </w:numPr>
      </w:pPr>
      <w:r>
        <w:t xml:space="preserve">Management-fee growth is modest sequentially</w:t>
      </w:r>
    </w:p>
    <w:p>
      <w:pPr>
        <w:pStyle w:val="Compact"/>
        <w:numPr>
          <w:ilvl w:val="0"/>
          <w:numId w:val="1010"/>
        </w:numPr>
      </w:pPr>
      <w:r>
        <w:t xml:space="preserve">Realizations are adequate but not yet accelerating materially</w:t>
      </w:r>
    </w:p>
    <w:p>
      <w:pPr>
        <w:pStyle w:val="Compact"/>
        <w:numPr>
          <w:ilvl w:val="0"/>
          <w:numId w:val="1010"/>
        </w:numPr>
      </w:pPr>
      <w:r>
        <w:t xml:space="preserve">Infrastructure remains strong while real estate is mixed</w:t>
      </w:r>
    </w:p>
    <w:p>
      <w:pPr>
        <w:pStyle w:val="Compact"/>
        <w:numPr>
          <w:ilvl w:val="0"/>
          <w:numId w:val="1010"/>
        </w:numPr>
      </w:pPr>
      <w:r>
        <w:t xml:space="preserve">Management reiterates stronger fee and realization activity later in the year</w:t>
      </w:r>
    </w:p>
    <w:bookmarkEnd w:id="31"/>
    <w:bookmarkStart w:id="32" w:name="bear-case"/>
    <w:p>
      <w:pPr>
        <w:pStyle w:val="Heading3"/>
      </w:pPr>
      <w:r>
        <w:t xml:space="preserve">Bear case</w:t>
      </w:r>
    </w:p>
    <w:p>
      <w:pPr>
        <w:pStyle w:val="Compact"/>
        <w:numPr>
          <w:ilvl w:val="0"/>
          <w:numId w:val="1011"/>
        </w:numPr>
      </w:pPr>
      <w:r>
        <w:t xml:space="preserve">BCRED redemptions remain elevated with weak new sales</w:t>
      </w:r>
    </w:p>
    <w:p>
      <w:pPr>
        <w:pStyle w:val="Compact"/>
        <w:numPr>
          <w:ilvl w:val="0"/>
          <w:numId w:val="1011"/>
        </w:numPr>
      </w:pPr>
      <w:r>
        <w:t xml:space="preserve">Credit marks decline, reserves rise or nonaccruals increase</w:t>
      </w:r>
    </w:p>
    <w:p>
      <w:pPr>
        <w:pStyle w:val="Compact"/>
        <w:numPr>
          <w:ilvl w:val="0"/>
          <w:numId w:val="1011"/>
        </w:numPr>
      </w:pPr>
      <w:r>
        <w:t xml:space="preserve">Fee-related performance revenue falls more than expected</w:t>
      </w:r>
    </w:p>
    <w:p>
      <w:pPr>
        <w:pStyle w:val="Compact"/>
        <w:numPr>
          <w:ilvl w:val="0"/>
          <w:numId w:val="1011"/>
        </w:numPr>
      </w:pPr>
      <w:r>
        <w:t xml:space="preserve">Real-estate management-fee pressure persists</w:t>
      </w:r>
    </w:p>
    <w:p>
      <w:pPr>
        <w:pStyle w:val="Compact"/>
        <w:numPr>
          <w:ilvl w:val="0"/>
          <w:numId w:val="1011"/>
        </w:numPr>
      </w:pPr>
      <w:r>
        <w:t xml:space="preserve">Accrued carry declines despite positive public markets</w:t>
      </w:r>
    </w:p>
    <w:p>
      <w:pPr>
        <w:pStyle w:val="Compact"/>
        <w:numPr>
          <w:ilvl w:val="0"/>
          <w:numId w:val="1011"/>
        </w:numPr>
      </w:pPr>
      <w:r>
        <w:t xml:space="preserve">Management becomes less confident in second-half IPOs and realizations</w:t>
      </w:r>
    </w:p>
    <w:p>
      <w:pPr>
        <w:pStyle w:val="Compact"/>
        <w:numPr>
          <w:ilvl w:val="0"/>
          <w:numId w:val="1011"/>
        </w:numPr>
      </w:pPr>
      <w:r>
        <w:t xml:space="preserve">The expected fee-growth inflection is pushed into 2027</w:t>
      </w:r>
    </w:p>
    <w:bookmarkEnd w:id="32"/>
    <w:bookmarkEnd w:id="33"/>
    <w:bookmarkStart w:id="34" w:name="questions-management-should-answer"/>
    <w:p>
      <w:pPr>
        <w:pStyle w:val="Heading2"/>
      </w:pPr>
      <w:r>
        <w:t xml:space="preserve">Questions management should answer</w:t>
      </w:r>
    </w:p>
    <w:p>
      <w:pPr>
        <w:pStyle w:val="Compact"/>
        <w:numPr>
          <w:ilvl w:val="0"/>
          <w:numId w:val="1012"/>
        </w:numPr>
      </w:pPr>
      <w:r>
        <w:t xml:space="preserve">What were BCRED’s Q2 gross sales, repurchases and net flows?</w:t>
      </w:r>
    </w:p>
    <w:p>
      <w:pPr>
        <w:pStyle w:val="Compact"/>
        <w:numPr>
          <w:ilvl w:val="0"/>
          <w:numId w:val="1012"/>
        </w:numPr>
      </w:pPr>
      <w:r>
        <w:t xml:space="preserve">How did BCRED sales trend in June and early July?</w:t>
      </w:r>
    </w:p>
    <w:p>
      <w:pPr>
        <w:pStyle w:val="Compact"/>
        <w:numPr>
          <w:ilvl w:val="0"/>
          <w:numId w:val="1012"/>
        </w:numPr>
      </w:pPr>
      <w:r>
        <w:t xml:space="preserve">Does management expect Q3 requests to remain above the 5% cap?</w:t>
      </w:r>
    </w:p>
    <w:p>
      <w:pPr>
        <w:pStyle w:val="Compact"/>
        <w:numPr>
          <w:ilvl w:val="0"/>
          <w:numId w:val="1012"/>
        </w:numPr>
      </w:pPr>
      <w:r>
        <w:t xml:space="preserve">How have software credit marks, nonaccruals and interest coverage changed?</w:t>
      </w:r>
    </w:p>
    <w:p>
      <w:pPr>
        <w:pStyle w:val="Compact"/>
        <w:numPr>
          <w:ilvl w:val="0"/>
          <w:numId w:val="1012"/>
        </w:numPr>
      </w:pPr>
      <w:r>
        <w:t xml:space="preserve">When will recently raised funds begin contributing meaningful management fees?</w:t>
      </w:r>
    </w:p>
    <w:p>
      <w:pPr>
        <w:pStyle w:val="Compact"/>
        <w:numPr>
          <w:ilvl w:val="0"/>
          <w:numId w:val="1012"/>
        </w:numPr>
      </w:pPr>
      <w:r>
        <w:t xml:space="preserve">What is the expected base-management-fee growth rate exiting 2026?</w:t>
      </w:r>
    </w:p>
    <w:p>
      <w:pPr>
        <w:pStyle w:val="Compact"/>
        <w:numPr>
          <w:ilvl w:val="0"/>
          <w:numId w:val="1012"/>
        </w:numPr>
      </w:pPr>
      <w:r>
        <w:t xml:space="preserve">How much visibility does Blackstone have into second-half IPOs and secondary sales?</w:t>
      </w:r>
    </w:p>
    <w:p>
      <w:pPr>
        <w:pStyle w:val="Compact"/>
        <w:numPr>
          <w:ilvl w:val="0"/>
          <w:numId w:val="1012"/>
        </w:numPr>
      </w:pPr>
      <w:r>
        <w:t xml:space="preserve">Has institutional Core+ real estate reached its fee and AUM trough?</w:t>
      </w:r>
    </w:p>
    <w:p>
      <w:pPr>
        <w:pStyle w:val="Compact"/>
        <w:numPr>
          <w:ilvl w:val="0"/>
          <w:numId w:val="1012"/>
        </w:numPr>
      </w:pPr>
      <w:r>
        <w:t xml:space="preserve">How much did AI and infrastructure investments contribute to Q2 appreciation?</w:t>
      </w:r>
    </w:p>
    <w:p>
      <w:pPr>
        <w:pStyle w:val="Compact"/>
        <w:numPr>
          <w:ilvl w:val="0"/>
          <w:numId w:val="1012"/>
        </w:numPr>
      </w:pPr>
      <w:r>
        <w:t xml:space="preserve">When will the Wellington–Vanguard products begin contributing to AUM and fees?</w:t>
      </w:r>
    </w:p>
    <w:bookmarkEnd w:id="34"/>
    <w:bookmarkStart w:id="35" w:name="bottom-line"/>
    <w:p>
      <w:pPr>
        <w:pStyle w:val="Heading2"/>
      </w:pPr>
      <w:r>
        <w:t xml:space="preserve">Bottom line</w:t>
      </w:r>
    </w:p>
    <w:p>
      <w:pPr>
        <w:pStyle w:val="FirstParagraph"/>
      </w:pPr>
      <w:r>
        <w:rPr>
          <w:b/>
          <w:bCs/>
        </w:rPr>
        <w:t xml:space="preserve">This report is primarily a test of flows and confidence, not just quarterly EPS.</w:t>
      </w:r>
    </w:p>
    <w:p>
      <w:pPr>
        <w:pStyle w:val="BodyText"/>
      </w:pPr>
      <w:r>
        <w:t xml:space="preserve">Blackstone’s institutional franchise, fundraising scale and AI-infrastructure positioning remain powerful. The preannounced realization revenue also reduces the risk of an extremely weak realization quarter. But the valuation already reflects a premium franchise, and BCRED has become a tangible headwind rather than background noise.</w:t>
      </w:r>
    </w:p>
    <w:p>
      <w:pPr>
        <w:pStyle w:val="BodyText"/>
      </w:pPr>
      <w:r>
        <w:t xml:space="preserve">The cleanest positive outcome would combine</w:t>
      </w:r>
      <w:r>
        <w:t xml:space="preserve"> </w:t>
      </w:r>
      <w:r>
        <w:rPr>
          <w:b/>
          <w:bCs/>
        </w:rPr>
        <w:t xml:space="preserve">stable credit fundamentals, evidence that BCRED pressure is cresting, continued fee-earning AUM growth and confidence in a late-year acceleration in fees and realizations</w:t>
      </w:r>
      <w:r>
        <w:t xml:space="preserve">. An in-line earnings number without those signals would likely be viewed as less compelling.</w:t>
      </w:r>
    </w:p>
    <w:bookmarkEnd w:id="35"/>
    <w:bookmarkEnd w:id="3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r.blackstone.com/events/event-details/default.aspx?utm_source=openai" TargetMode="External" /><Relationship Type="http://schemas.openxmlformats.org/officeDocument/2006/relationships/hyperlink" Id="rId15" Target="https://www.bcred.com/?utm_source=openai" TargetMode="External" /><Relationship Type="http://schemas.openxmlformats.org/officeDocument/2006/relationships/hyperlink" Id="rId12" Target="https://www.benzinga.com/quote/BX/earnings?utm_source=openai" TargetMode="External" /><Relationship Type="http://schemas.openxmlformats.org/officeDocument/2006/relationships/hyperlink" Id="rId21" Target="https://www.blackstone.com/news/press/blackstone-announces-intra-quarter-realization-update-relating-to-the-second-quarter-2/?utm_source=openai" TargetMode="External" /><Relationship Type="http://schemas.openxmlformats.org/officeDocument/2006/relationships/hyperlink" Id="rId24" Target="https://www.blackstone.com/news/press/blackstone-announces-joint-venture-with-google-to-create-new-tpu-cloud/?utm_source=openai" TargetMode="External" /><Relationship Type="http://schemas.openxmlformats.org/officeDocument/2006/relationships/hyperlink" Id="rId18" Target="https://www.blackstone.com/news/press/blackstone-raises-its-largest-asia-private-equity-fund-at-13-1-billion/?utm_source=openai" TargetMode="External" /><Relationship Type="http://schemas.openxmlformats.org/officeDocument/2006/relationships/hyperlink" Id="rId22" Target="https://www.blackstone.com/news/press/digital-realty-announces-purchase-of-blackstone-interest-in-three-northern-virginia-data-centers/?utm_source=openai" TargetMode="External" /><Relationship Type="http://schemas.openxmlformats.org/officeDocument/2006/relationships/hyperlink" Id="rId27" Target="https://www.blackstone.com/news/press/wellington-vanguard-and-blackstone-announce-the-launch-of-two-investment-solutions-simplifying-access-to-public-and-private-markets/?utm_source=openai" TargetMode="External" /><Relationship Type="http://schemas.openxmlformats.org/officeDocument/2006/relationships/hyperlink" Id="rId11" Target="https://www.blackstone.com/wp-content/uploads/sites/2/2026/04/Blackstone1Q26EarningsPressRelease.pdf?utm_source=openai" TargetMode="External" /><Relationship Type="http://schemas.openxmlformats.org/officeDocument/2006/relationships/hyperlink" Id="rId14" Target="https://www.investing.com/news/stock-market-news/blackstone-caps-withdrawals-at-flagship-private-credit-fund-as-redemption-requests-hit-10-4726608?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r.blackstone.com/events/event-details/default.aspx?utm_source=openai" TargetMode="External" /><Relationship Type="http://schemas.openxmlformats.org/officeDocument/2006/relationships/hyperlink" Id="rId15" Target="https://www.bcred.com/?utm_source=openai" TargetMode="External" /><Relationship Type="http://schemas.openxmlformats.org/officeDocument/2006/relationships/hyperlink" Id="rId12" Target="https://www.benzinga.com/quote/BX/earnings?utm_source=openai" TargetMode="External" /><Relationship Type="http://schemas.openxmlformats.org/officeDocument/2006/relationships/hyperlink" Id="rId21" Target="https://www.blackstone.com/news/press/blackstone-announces-intra-quarter-realization-update-relating-to-the-second-quarter-2/?utm_source=openai" TargetMode="External" /><Relationship Type="http://schemas.openxmlformats.org/officeDocument/2006/relationships/hyperlink" Id="rId24" Target="https://www.blackstone.com/news/press/blackstone-announces-joint-venture-with-google-to-create-new-tpu-cloud/?utm_source=openai" TargetMode="External" /><Relationship Type="http://schemas.openxmlformats.org/officeDocument/2006/relationships/hyperlink" Id="rId18" Target="https://www.blackstone.com/news/press/blackstone-raises-its-largest-asia-private-equity-fund-at-13-1-billion/?utm_source=openai" TargetMode="External" /><Relationship Type="http://schemas.openxmlformats.org/officeDocument/2006/relationships/hyperlink" Id="rId22" Target="https://www.blackstone.com/news/press/digital-realty-announces-purchase-of-blackstone-interest-in-three-northern-virginia-data-centers/?utm_source=openai" TargetMode="External" /><Relationship Type="http://schemas.openxmlformats.org/officeDocument/2006/relationships/hyperlink" Id="rId27" Target="https://www.blackstone.com/news/press/wellington-vanguard-and-blackstone-announce-the-launch-of-two-investment-solutions-simplifying-access-to-public-and-private-markets/?utm_source=openai" TargetMode="External" /><Relationship Type="http://schemas.openxmlformats.org/officeDocument/2006/relationships/hyperlink" Id="rId11" Target="https://www.blackstone.com/wp-content/uploads/sites/2/2026/04/Blackstone1Q26EarningsPressRelease.pdf?utm_source=openai" TargetMode="External" /><Relationship Type="http://schemas.openxmlformats.org/officeDocument/2006/relationships/hyperlink" Id="rId14" Target="https://www.investing.com/news/stock-market-news/blackstone-caps-withdrawals-at-flagship-private-credit-fund-as-redemption-requests-hit-10-4726608?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2026-07-23T00:38:06Z</dcterms:created>
  <dcterms:modified xsi:type="dcterms:W3CDTF">2026-07-23T00:38:06Z</dcterms:modified>
</cp:coreProperties>
</file>

<file path=docProps/custom.xml><?xml version="1.0" encoding="utf-8"?>
<Properties xmlns="http://schemas.openxmlformats.org/officeDocument/2006/custom-properties" xmlns:vt="http://schemas.openxmlformats.org/officeDocument/2006/docPropsVTypes"/>
</file>