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9" w:name="X400930409188609a308c526c7180142cfd4fb3a"/>
    <w:p>
      <w:pPr>
        <w:pStyle w:val="Heading1"/>
      </w:pPr>
      <w:r>
        <w:t xml:space="preserve">Blackstone (NYSE: BX) — 2Q26 Earnings Preview</w:t>
      </w:r>
    </w:p>
    <w:p>
      <w:pPr>
        <w:pStyle w:val="BlockText"/>
      </w:pPr>
      <w:r>
        <w:rPr>
          <w:b/>
          <w:bCs/>
        </w:rPr>
        <w:t xml:space="preserve">Timing note:</w:t>
      </w:r>
      <w:r>
        <w:t xml:space="preserve"> </w:t>
      </w:r>
      <w:r>
        <w:t xml:space="preserve">The event date in the prompt is</w:t>
      </w:r>
      <w:r>
        <w:t xml:space="preserve"> </w:t>
      </w:r>
      <w:r>
        <w:rPr>
          <w:b/>
          <w:bCs/>
        </w:rPr>
        <w:t xml:space="preserve">Thursday, July 23, 2026</w:t>
      </w:r>
      <w:r>
        <w:t xml:space="preserve">. As of July 23, the report is</w:t>
      </w:r>
      <w:r>
        <w:t xml:space="preserve"> </w:t>
      </w:r>
      <w:r>
        <w:rPr>
          <w:b/>
          <w:bCs/>
        </w:rPr>
        <w:t xml:space="preserve">today—not tomorrow</w:t>
      </w:r>
      <w:r>
        <w:t xml:space="preserve">—and is expected before the U.S. market open.</w:t>
      </w:r>
    </w:p>
    <w:bookmarkStart w:id="9" w:name="bottom-line"/>
    <w:p>
      <w:pPr>
        <w:pStyle w:val="Heading2"/>
      </w:pPr>
      <w:r>
        <w:t xml:space="preserve">Bottom line</w:t>
      </w:r>
    </w:p>
    <w:p>
      <w:pPr>
        <w:pStyle w:val="FirstParagraph"/>
      </w:pPr>
      <w:r>
        <w:t xml:space="preserve">Blackstone enters 2Q26 with the core earnings engine intact: recurring fee-related earnings should continue to benefit from broad AUM growth, a scaling perpetual-capital base, and strong institutional fundraising. The more consequential question for the stock is whether the quarter confirms that the firm can convert its sizable embedded performance-fee balance into cash earnings while navigating a softer private-wealth credit backdrop and uneven realization markets.</w:t>
      </w:r>
    </w:p>
    <w:p>
      <w:pPr>
        <w:pStyle w:val="BodyText"/>
      </w:pPr>
      <w:r>
        <w:t xml:space="preserve">The setup appears</w:t>
      </w:r>
      <w:r>
        <w:t xml:space="preserve"> </w:t>
      </w:r>
      <w:r>
        <w:rPr>
          <w:b/>
          <w:bCs/>
        </w:rPr>
        <w:t xml:space="preserve">constructive but demanding</w:t>
      </w:r>
      <w:r>
        <w:t xml:space="preserve">. BX pre-announced on June 23 that it expected</w:t>
      </w:r>
      <w:r>
        <w:t xml:space="preserve"> </w:t>
      </w:r>
      <w:r>
        <w:rPr>
          <w:b/>
          <w:bCs/>
        </w:rPr>
        <w:t xml:space="preserve">more than $500 million</w:t>
      </w:r>
      <w:r>
        <w:t xml:space="preserve"> </w:t>
      </w:r>
      <w:r>
        <w:t xml:space="preserve">of combined realized performance revenues and realized principal-investment income through that date, nearly all from realized performance revenues. That puts a meaningful floor under 2Q realization earnings, although it is below the $780 million of realized performance revenues reported in 1Q26 and makes the final-quarter cadence, composition, and outlook important.</w:t>
      </w:r>
    </w:p>
    <w:p>
      <w:pPr>
        <w:pStyle w:val="BodyText"/>
      </w:pPr>
      <w:r>
        <w:t xml:space="preserve">Street expectations cited ahead of the report are approximately</w:t>
      </w:r>
      <w:r>
        <w:t xml:space="preserve"> </w:t>
      </w:r>
      <m:oMath>
        <m:r>
          <m:t>1.33</m:t>
        </m:r>
        <m:r>
          <m:t>p</m:t>
        </m:r>
        <m:r>
          <m:t>e</m:t>
        </m:r>
        <m:r>
          <m:t>r</m:t>
        </m:r>
        <m:r>
          <m:t>s</m:t>
        </m:r>
        <m:r>
          <m:t>h</m:t>
        </m:r>
        <m:r>
          <m:t>a</m:t>
        </m:r>
        <m:r>
          <m:t>r</m:t>
        </m:r>
        <m:r>
          <m:t>e</m:t>
        </m:r>
        <m:r>
          <m:rPr>
            <m:sty m:val="p"/>
          </m:rPr>
          <m:t>*</m:t>
        </m:r>
        <m:r>
          <m:rPr>
            <m:sty m:val="p"/>
          </m:rPr>
          <m:t>*</m:t>
        </m:r>
        <m:r>
          <m:t>a</m:t>
        </m:r>
        <m:r>
          <m:t>n</m:t>
        </m:r>
        <m:r>
          <m:t>d</m:t>
        </m:r>
        <m:r>
          <m:rPr>
            <m:sty m:val="p"/>
          </m:rPr>
          <m:t>*</m:t>
        </m:r>
        <m:r>
          <m:rPr>
            <m:sty m:val="p"/>
          </m:rPr>
          <m:t>*</m:t>
        </m:r>
      </m:oMath>
      <w:r>
        <w:rPr>
          <w:b/>
          <w:bCs/>
        </w:rPr>
        <w:t xml:space="preserve">54 billion of inflows</w:t>
      </w:r>
      <w:r>
        <w:t xml:space="preserve">. For BX, investors should focus more on</w:t>
      </w:r>
      <w:r>
        <w:t xml:space="preserve"> </w:t>
      </w:r>
      <w:r>
        <w:rPr>
          <w:b/>
          <w:bCs/>
        </w:rPr>
        <w:t xml:space="preserve">distributable earnings (“DE”) per share, fee-related earnings (“FRE”), fee-earning AUM, flows, investment marks, and the dividend</w:t>
      </w:r>
      <w:r>
        <w:t xml:space="preserve"> </w:t>
      </w:r>
      <w:r>
        <w:t xml:space="preserve">than on GAAP EPS alone.</w:t>
      </w:r>
    </w:p>
    <w:bookmarkEnd w:id="9"/>
    <w:bookmarkStart w:id="15" w:name="what-matters-most-this-quarter"/>
    <w:p>
      <w:pPr>
        <w:pStyle w:val="Heading2"/>
      </w:pPr>
      <w:r>
        <w:t xml:space="preserve">What matters most this quarter</w:t>
      </w:r>
    </w:p>
    <w:bookmarkStart w:id="10" w:name="Xc8ae366b516cb47433775be68c97f8594b9dff9"/>
    <w:p>
      <w:pPr>
        <w:pStyle w:val="Heading3"/>
      </w:pPr>
      <w:r>
        <w:t xml:space="preserve">1. Realizations: pre-announcement reduces downside, but not the debate</w:t>
      </w:r>
    </w:p>
    <w:p>
      <w:pPr>
        <w:pStyle w:val="FirstParagraph"/>
      </w:pPr>
      <w:r>
        <w:t xml:space="preserve">The June intra-quarter update is the central datapoint heading into earnings. Blackstone indicated that realized performance revenues plus realized principal-investment income would exceed</w:t>
      </w:r>
      <w:r>
        <w:t xml:space="preserve"> </w:t>
      </w:r>
      <w:r>
        <w:rPr>
          <w:b/>
          <w:bCs/>
        </w:rPr>
        <w:t xml:space="preserve">$500 million</w:t>
      </w:r>
      <w:r>
        <w:t xml:space="preserve"> </w:t>
      </w:r>
      <w:r>
        <w:t xml:space="preserve">for April 1 through June 23, almost entirely from performance revenues.</w:t>
      </w:r>
    </w:p>
    <w:p>
      <w:pPr>
        <w:pStyle w:val="BodyText"/>
      </w:pPr>
      <w:r>
        <w:t xml:space="preserve">That is helpful for visibility, but investors will want to know:</w:t>
      </w:r>
    </w:p>
    <w:p>
      <w:pPr>
        <w:pStyle w:val="Compact"/>
        <w:numPr>
          <w:ilvl w:val="0"/>
          <w:numId w:val="1001"/>
        </w:numPr>
      </w:pPr>
      <w:r>
        <w:t xml:space="preserve">Where the final 2Q result lands relative to the pre-announced floor;</w:t>
      </w:r>
    </w:p>
    <w:p>
      <w:pPr>
        <w:pStyle w:val="Compact"/>
        <w:numPr>
          <w:ilvl w:val="0"/>
          <w:numId w:val="1001"/>
        </w:numPr>
      </w:pPr>
      <w:r>
        <w:t xml:space="preserve">Whether realizations were concentrated in a few assets or broad-based;</w:t>
      </w:r>
    </w:p>
    <w:p>
      <w:pPr>
        <w:pStyle w:val="Compact"/>
        <w:numPr>
          <w:ilvl w:val="0"/>
          <w:numId w:val="1001"/>
        </w:numPr>
      </w:pPr>
      <w:r>
        <w:t xml:space="preserve">The mix between private equity, real estate, credit, and multi-asset investing;</w:t>
      </w:r>
    </w:p>
    <w:p>
      <w:pPr>
        <w:pStyle w:val="Compact"/>
        <w:numPr>
          <w:ilvl w:val="0"/>
          <w:numId w:val="1001"/>
        </w:numPr>
      </w:pPr>
      <w:r>
        <w:t xml:space="preserve">Whether management’s outlook for the second half has improved as IPO, secondary, and M&amp;A markets develop.</w:t>
      </w:r>
    </w:p>
    <w:p>
      <w:pPr>
        <w:pStyle w:val="FirstParagraph"/>
      </w:pPr>
      <w:r>
        <w:t xml:space="preserve">At 1Q26, Blackstone generated</w:t>
      </w:r>
      <w:r>
        <w:t xml:space="preserve"> </w:t>
      </w:r>
      <w:r>
        <w:rPr>
          <w:b/>
          <w:bCs/>
        </w:rPr>
        <w:t xml:space="preserve">$448 million of net realizations</w:t>
      </w:r>
      <w:r>
        <w:t xml:space="preserve">, below 4Q25’s $957 million but above 1Q25’s</w:t>
      </w:r>
      <w:r>
        <w:t xml:space="preserve"> </w:t>
      </w:r>
      <m:oMath>
        <m:r>
          <m:t>357</m:t>
        </m:r>
        <m:r>
          <m:t>m</m:t>
        </m:r>
        <m:r>
          <m:t>i</m:t>
        </m:r>
        <m:r>
          <m:t>l</m:t>
        </m:r>
        <m:r>
          <m:t>l</m:t>
        </m:r>
        <m:r>
          <m:t>i</m:t>
        </m:r>
        <m:r>
          <m:t>o</m:t>
        </m:r>
        <m:r>
          <m:t>n</m:t>
        </m:r>
        <m:r>
          <m:rPr>
            <m:sty m:val="p"/>
          </m:rPr>
          <m:t>.</m:t>
        </m:r>
        <m:r>
          <m:t>T</m:t>
        </m:r>
        <m:r>
          <m:t>h</m:t>
        </m:r>
        <m:r>
          <m:t>e</m:t>
        </m:r>
        <m:r>
          <m:t>f</m:t>
        </m:r>
        <m:r>
          <m:t>i</m:t>
        </m:r>
        <m:r>
          <m:t>r</m:t>
        </m:r>
        <m:r>
          <m:t>m</m:t>
        </m:r>
        <m:r>
          <m:t>a</m:t>
        </m:r>
        <m:r>
          <m:t>l</m:t>
        </m:r>
        <m:r>
          <m:t>s</m:t>
        </m:r>
        <m:r>
          <m:t>o</m:t>
        </m:r>
        <m:r>
          <m:t>c</m:t>
        </m:r>
        <m:r>
          <m:t>a</m:t>
        </m:r>
        <m:r>
          <m:t>r</m:t>
        </m:r>
        <m:r>
          <m:t>r</m:t>
        </m:r>
        <m:r>
          <m:t>i</m:t>
        </m:r>
        <m:r>
          <m:t>e</m:t>
        </m:r>
        <m:r>
          <m:t>d</m:t>
        </m:r>
        <m:r>
          <m:rPr>
            <m:sty m:val="p"/>
          </m:rPr>
          <m:t>*</m:t>
        </m:r>
        <m:r>
          <m:rPr>
            <m:sty m:val="p"/>
          </m:rPr>
          <m:t>*</m:t>
        </m:r>
      </m:oMath>
      <w:r>
        <w:t xml:space="preserve">7.0 billion of net accrued performance revenues**—or</w:t>
      </w:r>
      <w:r>
        <w:t xml:space="preserve"> </w:t>
      </w:r>
      <w:r>
        <w:rPr>
          <w:b/>
          <w:bCs/>
        </w:rPr>
        <w:t xml:space="preserve">$5.69 per share</w:t>
      </w:r>
      <w:r>
        <w:t xml:space="preserve">—at March 31. That embedded value is substantial, but it is not the same as current DE: timing of asset exits and distributions determines when it becomes distributable earnings.</w:t>
      </w:r>
    </w:p>
    <w:p>
      <w:pPr>
        <w:pStyle w:val="BodyText"/>
      </w:pPr>
      <w:r>
        <w:rPr>
          <w:b/>
          <w:bCs/>
        </w:rPr>
        <w:t xml:space="preserve">Read-through:</w:t>
      </w:r>
      <w:r>
        <w:t xml:space="preserve"> </w:t>
      </w:r>
      <w:r>
        <w:t xml:space="preserve">A strong final realization number and confidence in a second-half exit pipeline would support the view that 1Q’s moderation was timing-related. A result only modestly above the $500 million pre-announced floor, paired with cautious commentary, would reinforce concerns about delayed monetizations.</w:t>
      </w:r>
    </w:p>
    <w:bookmarkEnd w:id="10"/>
    <w:bookmarkStart w:id="11" w:name="X8369c51ec98245ee45fc2c064bea171e9d35df0"/>
    <w:p>
      <w:pPr>
        <w:pStyle w:val="Heading3"/>
      </w:pPr>
      <w:r>
        <w:t xml:space="preserve">2. Fee-related earnings and management-fee momentum</w:t>
      </w:r>
    </w:p>
    <w:p>
      <w:pPr>
        <w:pStyle w:val="FirstParagraph"/>
      </w:pPr>
      <w:r>
        <w:t xml:space="preserve">The recurring earnings base remains BX’s most important valuation support. In 1Q26:</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1Q26</w:t>
            </w:r>
          </w:p>
        </w:tc>
        <w:tc>
          <w:tcPr/>
          <w:p>
            <w:pPr>
              <w:pStyle w:val="Compact"/>
              <w:jc w:val="right"/>
            </w:pPr>
            <w:r>
              <w:t xml:space="preserve">YoY change</w:t>
            </w:r>
          </w:p>
        </w:tc>
      </w:tr>
      <w:tr>
        <w:tc>
          <w:tcPr/>
          <w:p>
            <w:pPr>
              <w:pStyle w:val="Compact"/>
            </w:pPr>
            <w:r>
              <w:t xml:space="preserve">FRE</w:t>
            </w:r>
          </w:p>
        </w:tc>
        <w:tc>
          <w:tcPr/>
          <w:p>
            <w:pPr>
              <w:pStyle w:val="Compact"/>
              <w:jc w:val="right"/>
            </w:pPr>
            <w:r>
              <w:t xml:space="preserve">$1.55B / $1.26 per share</w:t>
            </w:r>
          </w:p>
        </w:tc>
        <w:tc>
          <w:tcPr/>
          <w:p>
            <w:pPr>
              <w:pStyle w:val="Compact"/>
              <w:jc w:val="right"/>
            </w:pPr>
            <w:r>
              <w:t xml:space="preserve">+23%</w:t>
            </w:r>
          </w:p>
        </w:tc>
      </w:tr>
      <w:tr>
        <w:tc>
          <w:tcPr/>
          <w:p>
            <w:pPr>
              <w:pStyle w:val="Compact"/>
            </w:pPr>
            <w:r>
              <w:t xml:space="preserve">DE</w:t>
            </w:r>
          </w:p>
        </w:tc>
        <w:tc>
          <w:tcPr/>
          <w:p>
            <w:pPr>
              <w:pStyle w:val="Compact"/>
              <w:jc w:val="right"/>
            </w:pPr>
            <w:r>
              <w:t xml:space="preserve">$1.76B / $1.36 per share</w:t>
            </w:r>
          </w:p>
        </w:tc>
        <w:tc>
          <w:tcPr/>
          <w:p>
            <w:pPr>
              <w:pStyle w:val="Compact"/>
              <w:jc w:val="right"/>
            </w:pPr>
            <w:r>
              <w:t xml:space="preserve">+25%</w:t>
            </w:r>
          </w:p>
        </w:tc>
      </w:tr>
      <w:tr>
        <w:tc>
          <w:tcPr/>
          <w:p>
            <w:pPr>
              <w:pStyle w:val="Compact"/>
            </w:pPr>
            <w:r>
              <w:t xml:space="preserve">Total AUM</w:t>
            </w:r>
          </w:p>
        </w:tc>
        <w:tc>
          <w:tcPr/>
          <w:p>
            <w:pPr>
              <w:pStyle w:val="Compact"/>
              <w:jc w:val="right"/>
            </w:pPr>
            <w:r>
              <w:t xml:space="preserve">$1.304T</w:t>
            </w:r>
          </w:p>
        </w:tc>
        <w:tc>
          <w:tcPr/>
          <w:p>
            <w:pPr>
              <w:pStyle w:val="Compact"/>
              <w:jc w:val="right"/>
            </w:pPr>
            <w:r>
              <w:t xml:space="preserve">+12%</w:t>
            </w:r>
          </w:p>
        </w:tc>
      </w:tr>
      <w:tr>
        <w:tc>
          <w:tcPr/>
          <w:p>
            <w:pPr>
              <w:pStyle w:val="Compact"/>
            </w:pPr>
            <w:r>
              <w:t xml:space="preserve">Fee-earning AUM</w:t>
            </w:r>
          </w:p>
        </w:tc>
        <w:tc>
          <w:tcPr/>
          <w:p>
            <w:pPr>
              <w:pStyle w:val="Compact"/>
              <w:jc w:val="right"/>
            </w:pPr>
            <w:r>
              <w:t xml:space="preserve">$937.6B</w:t>
            </w:r>
          </w:p>
        </w:tc>
        <w:tc>
          <w:tcPr/>
          <w:p>
            <w:pPr>
              <w:pStyle w:val="Compact"/>
              <w:jc w:val="right"/>
            </w:pPr>
            <w:r>
              <w:t xml:space="preserve">+9%</w:t>
            </w:r>
          </w:p>
        </w:tc>
      </w:tr>
      <w:tr>
        <w:tc>
          <w:tcPr/>
          <w:p>
            <w:pPr>
              <w:pStyle w:val="Compact"/>
            </w:pPr>
            <w:r>
              <w:t xml:space="preserve">Perpetual-capital AUM</w:t>
            </w:r>
          </w:p>
        </w:tc>
        <w:tc>
          <w:tcPr/>
          <w:p>
            <w:pPr>
              <w:pStyle w:val="Compact"/>
              <w:jc w:val="right"/>
            </w:pPr>
            <w:r>
              <w:t xml:space="preserve">$539.7B</w:t>
            </w:r>
          </w:p>
        </w:tc>
        <w:tc>
          <w:tcPr/>
          <w:p>
            <w:pPr>
              <w:pStyle w:val="Compact"/>
              <w:jc w:val="right"/>
            </w:pPr>
            <w:r>
              <w:t xml:space="preserve">+16%</w:t>
            </w:r>
          </w:p>
        </w:tc>
      </w:tr>
      <w:tr>
        <w:tc>
          <w:tcPr/>
          <w:p>
            <w:pPr>
              <w:pStyle w:val="Compact"/>
            </w:pPr>
            <w:r>
              <w:t xml:space="preserve">Inflows</w:t>
            </w:r>
          </w:p>
        </w:tc>
        <w:tc>
          <w:tcPr/>
          <w:p>
            <w:pPr>
              <w:pStyle w:val="Compact"/>
              <w:jc w:val="right"/>
            </w:pPr>
            <w:r>
              <w:t xml:space="preserve">$68.5B</w:t>
            </w:r>
          </w:p>
        </w:tc>
        <w:tc>
          <w:tcPr/>
          <w:p>
            <w:pPr>
              <w:pStyle w:val="Compact"/>
              <w:jc w:val="right"/>
            </w:pPr>
            <w:r>
              <w:t xml:space="preserve">—</w:t>
            </w:r>
          </w:p>
        </w:tc>
      </w:tr>
    </w:tbl>
    <w:p>
      <w:pPr>
        <w:pStyle w:val="BodyText"/>
      </w:pPr>
      <w:r>
        <w:t xml:space="preserve">Management guided investors to expect relatively moderate sequential base-fee growth in the near term, followed by acceleration later in 2026 as newer drawdown funds move through fee holidays and perpetual products continue to scale.</w:t>
      </w:r>
    </w:p>
    <w:p>
      <w:pPr>
        <w:pStyle w:val="BodyText"/>
      </w:pPr>
      <w:r>
        <w:t xml:space="preserve">For 2Q, the key is whether management fees remain resilient despite:</w:t>
      </w:r>
    </w:p>
    <w:p>
      <w:pPr>
        <w:pStyle w:val="Compact"/>
        <w:numPr>
          <w:ilvl w:val="0"/>
          <w:numId w:val="1002"/>
        </w:numPr>
      </w:pPr>
      <w:r>
        <w:t xml:space="preserve">Real-estate harvesting and institutional Core+ headwinds;</w:t>
      </w:r>
    </w:p>
    <w:p>
      <w:pPr>
        <w:pStyle w:val="Compact"/>
        <w:numPr>
          <w:ilvl w:val="0"/>
          <w:numId w:val="1002"/>
        </w:numPr>
      </w:pPr>
      <w:r>
        <w:t xml:space="preserve">Softer activity in retail private credit;</w:t>
      </w:r>
    </w:p>
    <w:p>
      <w:pPr>
        <w:pStyle w:val="Compact"/>
        <w:numPr>
          <w:ilvl w:val="0"/>
          <w:numId w:val="1002"/>
        </w:numPr>
      </w:pPr>
      <w:r>
        <w:t xml:space="preserve">Some fee-earning credit AUM pressure in 1Q.</w:t>
      </w:r>
    </w:p>
    <w:p>
      <w:pPr>
        <w:pStyle w:val="FirstParagraph"/>
      </w:pPr>
      <w:r>
        <w:t xml:space="preserve">The offset is powerful: Blackstone’s private equity, infrastructure, insurance, asset-based-finance, secondaries, and multi-asset platforms are expanding. The firm had</w:t>
      </w:r>
      <w:r>
        <w:t xml:space="preserve"> </w:t>
      </w:r>
      <m:oMath>
        <m:r>
          <m:t>213</m:t>
        </m:r>
        <m:r>
          <m:t>b</m:t>
        </m:r>
        <m:r>
          <m:t>i</m:t>
        </m:r>
        <m:r>
          <m:t>l</m:t>
        </m:r>
        <m:r>
          <m:t>l</m:t>
        </m:r>
        <m:r>
          <m:t>i</m:t>
        </m:r>
        <m:r>
          <m:t>o</m:t>
        </m:r>
        <m:r>
          <m:t>n</m:t>
        </m:r>
        <m:r>
          <m:t>o</m:t>
        </m:r>
        <m:r>
          <m:t>f</m:t>
        </m:r>
        <m:r>
          <m:t>d</m:t>
        </m:r>
        <m:r>
          <m:t>r</m:t>
        </m:r>
        <m:r>
          <m:t>y</m:t>
        </m:r>
        <m:r>
          <m:t>p</m:t>
        </m:r>
        <m:r>
          <m:t>o</m:t>
        </m:r>
        <m:r>
          <m:t>w</m:t>
        </m:r>
        <m:r>
          <m:t>d</m:t>
        </m:r>
        <m:r>
          <m:t>e</m:t>
        </m:r>
        <m:r>
          <m:t>r</m:t>
        </m:r>
        <m:r>
          <m:rPr>
            <m:sty m:val="p"/>
          </m:rPr>
          <m:t>*</m:t>
        </m:r>
        <m:r>
          <m:rPr>
            <m:sty m:val="p"/>
          </m:rPr>
          <m:t>*</m:t>
        </m:r>
        <m:r>
          <m:t>a</m:t>
        </m:r>
        <m:r>
          <m:t>t</m:t>
        </m:r>
        <m:r>
          <m:t>t</m:t>
        </m:r>
        <m:r>
          <m:t>h</m:t>
        </m:r>
        <m:r>
          <m:t>e</m:t>
        </m:r>
        <m:r>
          <m:t>e</m:t>
        </m:r>
        <m:r>
          <m:t>n</m:t>
        </m:r>
        <m:r>
          <m:t>d</m:t>
        </m:r>
        <m:r>
          <m:t>o</m:t>
        </m:r>
        <m:r>
          <m:t>f</m:t>
        </m:r>
        <m:r>
          <m:t>1</m:t>
        </m:r>
        <m:r>
          <m:t>Q</m:t>
        </m:r>
        <m:r>
          <m:rPr>
            <m:sty m:val="p"/>
          </m:rPr>
          <m:t>,</m:t>
        </m:r>
        <m:r>
          <m:t>i</m:t>
        </m:r>
        <m:r>
          <m:t>n</m:t>
        </m:r>
        <m:r>
          <m:t>c</m:t>
        </m:r>
        <m:r>
          <m:t>l</m:t>
        </m:r>
        <m:r>
          <m:t>u</m:t>
        </m:r>
        <m:r>
          <m:t>d</m:t>
        </m:r>
        <m:r>
          <m:t>i</m:t>
        </m:r>
        <m:r>
          <m:t>n</m:t>
        </m:r>
        <m:r>
          <m:t>g</m:t>
        </m:r>
        <m:r>
          <m:t>r</m:t>
        </m:r>
        <m:r>
          <m:t>o</m:t>
        </m:r>
        <m:r>
          <m:t>u</m:t>
        </m:r>
        <m:r>
          <m:t>g</m:t>
        </m:r>
        <m:r>
          <m:t>h</m:t>
        </m:r>
        <m:r>
          <m:t>l</m:t>
        </m:r>
        <m:r>
          <m:t>y</m:t>
        </m:r>
        <m:r>
          <m:rPr>
            <m:sty m:val="p"/>
          </m:rPr>
          <m:t>*</m:t>
        </m:r>
        <m:r>
          <m:rPr>
            <m:sty m:val="p"/>
          </m:rPr>
          <m:t>*</m:t>
        </m:r>
      </m:oMath>
      <w:r>
        <w:rPr>
          <w:b/>
          <w:bCs/>
        </w:rPr>
        <w:t xml:space="preserve">74 billion in Credit &amp; Insurance</w:t>
      </w:r>
      <w:r>
        <w:t xml:space="preserve">, much of which earns fees upon deployment rather than commitment.</w:t>
      </w:r>
    </w:p>
    <w:p>
      <w:pPr>
        <w:pStyle w:val="BodyText"/>
      </w:pPr>
      <w:r>
        <w:rPr>
          <w:b/>
          <w:bCs/>
        </w:rPr>
        <w:t xml:space="preserve">Watch:</w:t>
      </w:r>
      <w:r>
        <w:t xml:space="preserve"> </w:t>
      </w:r>
      <w:r>
        <w:t xml:space="preserve">Base management fees, FRE margin, the fee-earning AUM roll-forward, and any revision to the cadence of second-half management-fee growth.</w:t>
      </w:r>
    </w:p>
    <w:bookmarkEnd w:id="11"/>
    <w:bookmarkStart w:id="12" w:name="X3933776916e818d666addd726f37fce402fd09f"/>
    <w:p>
      <w:pPr>
        <w:pStyle w:val="Heading3"/>
      </w:pPr>
      <w:r>
        <w:t xml:space="preserve">3. Flows: the $54B bar and the composition matter more than the headline</w:t>
      </w:r>
    </w:p>
    <w:p>
      <w:pPr>
        <w:pStyle w:val="FirstParagraph"/>
      </w:pPr>
      <w:r>
        <w:t xml:space="preserve">The reported investor expectation of about</w:t>
      </w:r>
      <w:r>
        <w:t xml:space="preserve"> </w:t>
      </w:r>
      <w:r>
        <w:rPr>
          <w:b/>
          <w:bCs/>
        </w:rPr>
        <w:t xml:space="preserve">$54 billion</w:t>
      </w:r>
      <w:r>
        <w:t xml:space="preserve"> </w:t>
      </w:r>
      <w:r>
        <w:t xml:space="preserve">of quarterly inflows would represent a step down from 1Q’s $68.5 billion, but still a healthy result for a $1.3 trillion platform.</w:t>
      </w:r>
    </w:p>
    <w:p>
      <w:pPr>
        <w:pStyle w:val="BodyText"/>
      </w:pPr>
      <w:r>
        <w:t xml:space="preserve">The composition of flows will be more informative than the headline:</w:t>
      </w:r>
    </w:p>
    <w:p>
      <w:pPr>
        <w:pStyle w:val="Compact"/>
        <w:numPr>
          <w:ilvl w:val="0"/>
          <w:numId w:val="1003"/>
        </w:numPr>
      </w:pPr>
      <w:r>
        <w:rPr>
          <w:b/>
          <w:bCs/>
        </w:rPr>
        <w:t xml:space="preserve">Credit &amp; Insurance:</w:t>
      </w:r>
      <w:r>
        <w:t xml:space="preserve"> </w:t>
      </w:r>
      <w:r>
        <w:t xml:space="preserve">Institutional and insurance-client demand has remained strong, but BCRED experienced net outflows in 1Q as redemptions exceeded gross sales.</w:t>
      </w:r>
    </w:p>
    <w:p>
      <w:pPr>
        <w:pStyle w:val="Compact"/>
        <w:numPr>
          <w:ilvl w:val="0"/>
          <w:numId w:val="1003"/>
        </w:numPr>
      </w:pPr>
      <w:r>
        <w:rPr>
          <w:b/>
          <w:bCs/>
        </w:rPr>
        <w:t xml:space="preserve">Private wealth:</w:t>
      </w:r>
      <w:r>
        <w:t xml:space="preserve"> </w:t>
      </w:r>
      <w:r>
        <w:t xml:space="preserve">BXPE, BREIT, BX Infra, and future multi-asset products are major growth opportunities. A stabilization in BCRED net flows would be a meaningful sentiment improvement.</w:t>
      </w:r>
    </w:p>
    <w:p>
      <w:pPr>
        <w:pStyle w:val="Compact"/>
        <w:numPr>
          <w:ilvl w:val="0"/>
          <w:numId w:val="1003"/>
        </w:numPr>
      </w:pPr>
      <w:r>
        <w:rPr>
          <w:b/>
          <w:bCs/>
        </w:rPr>
        <w:t xml:space="preserve">Private equity / infrastructure:</w:t>
      </w:r>
      <w:r>
        <w:t xml:space="preserve"> </w:t>
      </w:r>
      <w:r>
        <w:t xml:space="preserve">These should remain fundraising strengths, particularly given AI-related infrastructure and energy-investment demand.</w:t>
      </w:r>
    </w:p>
    <w:p>
      <w:pPr>
        <w:pStyle w:val="Compact"/>
        <w:numPr>
          <w:ilvl w:val="0"/>
          <w:numId w:val="1003"/>
        </w:numPr>
      </w:pPr>
      <w:r>
        <w:rPr>
          <w:b/>
          <w:bCs/>
        </w:rPr>
        <w:t xml:space="preserve">Real estate:</w:t>
      </w:r>
      <w:r>
        <w:t xml:space="preserve"> </w:t>
      </w:r>
      <w:r>
        <w:t xml:space="preserve">Investors will look for evidence that BREIT’s improved sales/redemption profile and data-center exposure are translating into sustained growth.</w:t>
      </w:r>
    </w:p>
    <w:p>
      <w:pPr>
        <w:pStyle w:val="FirstParagraph"/>
      </w:pPr>
      <w:r>
        <w:t xml:space="preserve">In 1Q, Credit &amp; Insurance contributed</w:t>
      </w:r>
      <w:r>
        <w:t xml:space="preserve"> </w:t>
      </w:r>
      <m:oMath>
        <m:r>
          <m:t>37.0</m:t>
        </m:r>
        <m:r>
          <m:t>b</m:t>
        </m:r>
        <m:r>
          <m:t>i</m:t>
        </m:r>
        <m:r>
          <m:t>l</m:t>
        </m:r>
        <m:r>
          <m:t>l</m:t>
        </m:r>
        <m:r>
          <m:t>i</m:t>
        </m:r>
        <m:r>
          <m:t>o</m:t>
        </m:r>
        <m:r>
          <m:t>n</m:t>
        </m:r>
        <m:r>
          <m:rPr>
            <m:sty m:val="p"/>
          </m:rPr>
          <m:t>*</m:t>
        </m:r>
        <m:r>
          <m:rPr>
            <m:sty m:val="p"/>
          </m:rPr>
          <m:t>*</m:t>
        </m:r>
        <m:r>
          <m:t>o</m:t>
        </m:r>
        <m:r>
          <m:t>f</m:t>
        </m:r>
        <m:r>
          <m:t>i</m:t>
        </m:r>
        <m:r>
          <m:t>n</m:t>
        </m:r>
        <m:r>
          <m:t>f</m:t>
        </m:r>
        <m:r>
          <m:t>l</m:t>
        </m:r>
        <m:r>
          <m:t>o</m:t>
        </m:r>
        <m:r>
          <m:t>w</m:t>
        </m:r>
        <m:r>
          <m:t>s</m:t>
        </m:r>
        <m:r>
          <m:rPr>
            <m:sty m:val="p"/>
          </m:rPr>
          <m:t>,</m:t>
        </m:r>
        <m:r>
          <m:t>w</m:t>
        </m:r>
        <m:r>
          <m:t>h</m:t>
        </m:r>
        <m:r>
          <m:t>i</m:t>
        </m:r>
        <m:r>
          <m:t>l</m:t>
        </m:r>
        <m:r>
          <m:t>e</m:t>
        </m:r>
        <m:r>
          <m:t>P</m:t>
        </m:r>
        <m:r>
          <m:t>r</m:t>
        </m:r>
        <m:r>
          <m:t>i</m:t>
        </m:r>
        <m:r>
          <m:t>v</m:t>
        </m:r>
        <m:r>
          <m:t>a</m:t>
        </m:r>
        <m:r>
          <m:t>t</m:t>
        </m:r>
        <m:r>
          <m:t>e</m:t>
        </m:r>
        <m:r>
          <m:t>E</m:t>
        </m:r>
        <m:r>
          <m:t>q</m:t>
        </m:r>
        <m:r>
          <m:t>u</m:t>
        </m:r>
        <m:r>
          <m:t>i</m:t>
        </m:r>
        <m:r>
          <m:t>t</m:t>
        </m:r>
        <m:r>
          <m:t>y</m:t>
        </m:r>
        <m:r>
          <m:t>a</m:t>
        </m:r>
        <m:r>
          <m:t>d</m:t>
        </m:r>
        <m:r>
          <m:t>d</m:t>
        </m:r>
        <m:r>
          <m:t>e</m:t>
        </m:r>
        <m:r>
          <m:t>d</m:t>
        </m:r>
        <m:r>
          <m:rPr>
            <m:sty m:val="p"/>
          </m:rPr>
          <m:t>*</m:t>
        </m:r>
        <m:r>
          <m:rPr>
            <m:sty m:val="p"/>
          </m:rPr>
          <m:t>*</m:t>
        </m:r>
      </m:oMath>
      <w:r>
        <w:rPr>
          <w:b/>
          <w:bCs/>
        </w:rPr>
        <w:t xml:space="preserve">20.4 billion</w:t>
      </w:r>
      <w:r>
        <w:t xml:space="preserve">. Any material deceleration in the institutional credit channel would be a negative surprise; a recovery in wealth-channel credit flows would be more incremental upside.</w:t>
      </w:r>
    </w:p>
    <w:bookmarkEnd w:id="12"/>
    <w:bookmarkStart w:id="13" w:name="Xe527064c98157d60c6bcbf8220ef0302ba5a753"/>
    <w:p>
      <w:pPr>
        <w:pStyle w:val="Heading3"/>
      </w:pPr>
      <w:r>
        <w:t xml:space="preserve">4. Investment performance: data centers and infrastructure versus credit and real estate</w:t>
      </w:r>
    </w:p>
    <w:p>
      <w:pPr>
        <w:pStyle w:val="FirstParagraph"/>
      </w:pPr>
      <w:r>
        <w:t xml:space="preserve">Blackstone’s portfolio exposure to AI infrastructure, data centers, power, and energy has become a major differentiator. At the last report, infrastructure appreciated</w:t>
      </w:r>
      <w:r>
        <w:t xml:space="preserve"> </w:t>
      </w:r>
      <w:r>
        <w:rPr>
          <w:b/>
          <w:bCs/>
        </w:rPr>
        <w:t xml:space="preserve">7.8%</w:t>
      </w:r>
      <w:r>
        <w:t xml:space="preserve"> </w:t>
      </w:r>
      <w:r>
        <w:t xml:space="preserve">in 1Q and</w:t>
      </w:r>
      <w:r>
        <w:t xml:space="preserve"> </w:t>
      </w:r>
      <w:r>
        <w:rPr>
          <w:b/>
          <w:bCs/>
        </w:rPr>
        <w:t xml:space="preserve">24.8%</w:t>
      </w:r>
      <w:r>
        <w:t xml:space="preserve"> </w:t>
      </w:r>
      <w:r>
        <w:t xml:space="preserve">over the trailing twelve months; Corporate Private Equity appreciated</w:t>
      </w:r>
      <w:r>
        <w:t xml:space="preserve"> </w:t>
      </w:r>
      <w:r>
        <w:rPr>
          <w:b/>
          <w:bCs/>
        </w:rPr>
        <w:t xml:space="preserve">3.2%</w:t>
      </w:r>
      <w:r>
        <w:t xml:space="preserve"> </w:t>
      </w:r>
      <w:r>
        <w:t xml:space="preserve">in the quarter. Management has highlighted more than</w:t>
      </w:r>
      <w:r>
        <w:t xml:space="preserve"> </w:t>
      </w:r>
      <w:r>
        <w:rPr>
          <w:b/>
          <w:bCs/>
        </w:rPr>
        <w:t xml:space="preserve">$150 billion</w:t>
      </w:r>
      <w:r>
        <w:t xml:space="preserve"> </w:t>
      </w:r>
      <w:r>
        <w:t xml:space="preserve">of global data-center exposure, including projects under construction.</w:t>
      </w:r>
    </w:p>
    <w:p>
      <w:pPr>
        <w:pStyle w:val="BodyText"/>
      </w:pPr>
      <w:r>
        <w:t xml:space="preserve">The main performance watch items are:</w:t>
      </w:r>
    </w:p>
    <w:p>
      <w:pPr>
        <w:pStyle w:val="Compact"/>
        <w:numPr>
          <w:ilvl w:val="0"/>
          <w:numId w:val="1004"/>
        </w:numPr>
      </w:pPr>
      <w:r>
        <w:rPr>
          <w:b/>
          <w:bCs/>
        </w:rPr>
        <w:t xml:space="preserve">Infrastructure/data centers:</w:t>
      </w:r>
      <w:r>
        <w:t xml:space="preserve"> </w:t>
      </w:r>
      <w:r>
        <w:t xml:space="preserve">Can robust marks continue amid power constraints, permitting scrutiny, and high capital needs?</w:t>
      </w:r>
    </w:p>
    <w:p>
      <w:pPr>
        <w:pStyle w:val="Compact"/>
        <w:numPr>
          <w:ilvl w:val="0"/>
          <w:numId w:val="1004"/>
        </w:numPr>
      </w:pPr>
      <w:r>
        <w:rPr>
          <w:b/>
          <w:bCs/>
        </w:rPr>
        <w:t xml:space="preserve">Corporate private equity:</w:t>
      </w:r>
      <w:r>
        <w:t xml:space="preserve"> </w:t>
      </w:r>
      <w:r>
        <w:t xml:space="preserve">Are strong operating-company fundamentals offsetting pressure in software-related assets?</w:t>
      </w:r>
    </w:p>
    <w:p>
      <w:pPr>
        <w:pStyle w:val="Compact"/>
        <w:numPr>
          <w:ilvl w:val="0"/>
          <w:numId w:val="1004"/>
        </w:numPr>
      </w:pPr>
      <w:r>
        <w:rPr>
          <w:b/>
          <w:bCs/>
        </w:rPr>
        <w:t xml:space="preserve">Real estate:</w:t>
      </w:r>
      <w:r>
        <w:t xml:space="preserve"> </w:t>
      </w:r>
      <w:r>
        <w:t xml:space="preserve">Is the recovery broadening beyond data centers and select logistics/residential assets? Opportunistic real-estate funds declined 0.9% in 1Q.</w:t>
      </w:r>
    </w:p>
    <w:p>
      <w:pPr>
        <w:pStyle w:val="Compact"/>
        <w:numPr>
          <w:ilvl w:val="0"/>
          <w:numId w:val="1004"/>
        </w:numPr>
      </w:pPr>
      <w:r>
        <w:rPr>
          <w:b/>
          <w:bCs/>
        </w:rPr>
        <w:t xml:space="preserve">Private credit:</w:t>
      </w:r>
      <w:r>
        <w:t xml:space="preserve"> </w:t>
      </w:r>
      <w:r>
        <w:t xml:space="preserve">Are marks, defaults, non-accruals, and liquidity/redemption dynamics stable? This remains the largest near-term perception risk.</w:t>
      </w:r>
    </w:p>
    <w:bookmarkEnd w:id="13"/>
    <w:bookmarkStart w:id="14" w:name="X25f3ab5d7c9448445aaf0fdbe55bf940057e932"/>
    <w:p>
      <w:pPr>
        <w:pStyle w:val="Heading3"/>
      </w:pPr>
      <w:r>
        <w:t xml:space="preserve">5. Dividend: a direct readout on realized DE</w:t>
      </w:r>
    </w:p>
    <w:p>
      <w:pPr>
        <w:pStyle w:val="FirstParagraph"/>
      </w:pPr>
      <w:r>
        <w:t xml:space="preserve">Blackstone targets a quarterly dividend of roughly 85% of the company’s share of DE, subject to retained capital and board discretion. In 1Q26, the company paid a</w:t>
      </w:r>
      <w:r>
        <w:t xml:space="preserve"> </w:t>
      </w:r>
      <m:oMath>
        <m:r>
          <m:t>1.16</m:t>
        </m:r>
        <m:r>
          <m:rPr>
            <m:sty m:val="p"/>
          </m:rPr>
          <m:t>*</m:t>
        </m:r>
        <m:r>
          <m:rPr>
            <m:sty m:val="p"/>
          </m:rPr>
          <m:t>*</m:t>
        </m:r>
        <m:r>
          <m:t>d</m:t>
        </m:r>
        <m:r>
          <m:t>i</m:t>
        </m:r>
        <m:r>
          <m:t>v</m:t>
        </m:r>
        <m:r>
          <m:t>i</m:t>
        </m:r>
        <m:r>
          <m:t>d</m:t>
        </m:r>
        <m:r>
          <m:t>e</m:t>
        </m:r>
        <m:r>
          <m:t>n</m:t>
        </m:r>
        <m:r>
          <m:t>d</m:t>
        </m:r>
        <m:r>
          <m:t>o</m:t>
        </m:r>
        <m:r>
          <m:t>n</m:t>
        </m:r>
        <m:r>
          <m:rPr>
            <m:sty m:val="p"/>
          </m:rPr>
          <m:t>*</m:t>
        </m:r>
        <m:r>
          <m:rPr>
            <m:sty m:val="p"/>
          </m:rPr>
          <m:t>*</m:t>
        </m:r>
      </m:oMath>
      <w:r>
        <w:rPr>
          <w:b/>
          <w:bCs/>
        </w:rPr>
        <w:t xml:space="preserve">1.36</w:t>
      </w:r>
      <w:r>
        <w:t xml:space="preserve"> </w:t>
      </w:r>
      <w:r>
        <w:t xml:space="preserve">of DE per common share.</w:t>
      </w:r>
    </w:p>
    <w:p>
      <w:pPr>
        <w:pStyle w:val="BodyText"/>
      </w:pPr>
      <w:r>
        <w:t xml:space="preserve">The 2Q dividend will therefore function as a practical indicator of management’s realized-earnings outcome. Given the realization pre-announcement, a severely weaker-than-expected dividend would be difficult for investors to overlook.</w:t>
      </w:r>
    </w:p>
    <w:bookmarkEnd w:id="14"/>
    <w:bookmarkEnd w:id="15"/>
    <w:bookmarkStart w:id="16" w:name="X91d7d4a3c19c88e16cb406e0c4f061d1d2d7487"/>
    <w:p>
      <w:pPr>
        <w:pStyle w:val="Heading2"/>
      </w:pPr>
      <w:r>
        <w:t xml:space="preserve">Key catalysts and risks after quarter-end</w:t>
      </w:r>
    </w:p>
    <w:p>
      <w:pPr>
        <w:pStyle w:val="FirstParagraph"/>
      </w:pPr>
      <w:r>
        <w:t xml:space="preserve">Several recent developments could shape management’s commentary even if they do not affect reported 2Q financials:</w:t>
      </w:r>
    </w:p>
    <w:p>
      <w:pPr>
        <w:pStyle w:val="Compact"/>
        <w:numPr>
          <w:ilvl w:val="0"/>
          <w:numId w:val="1005"/>
        </w:numPr>
      </w:pPr>
      <w:r>
        <w:rPr>
          <w:b/>
          <w:bCs/>
        </w:rPr>
        <w:t xml:space="preserve">Vanguard/Wellington partnership:</w:t>
      </w:r>
      <w:r>
        <w:t xml:space="preserve"> </w:t>
      </w:r>
      <w:r>
        <w:t xml:space="preserve">Blackstone launched its first products with Vanguard and Wellington, initially through Bank of America’s Merrill and private-bank channels. This reinforces the long-term private-wealth distribution opportunity.</w:t>
      </w:r>
    </w:p>
    <w:p>
      <w:pPr>
        <w:pStyle w:val="Compact"/>
        <w:numPr>
          <w:ilvl w:val="0"/>
          <w:numId w:val="1005"/>
        </w:numPr>
      </w:pPr>
      <w:r>
        <w:rPr>
          <w:b/>
          <w:bCs/>
        </w:rPr>
        <w:t xml:space="preserve">Infrastructure deployment:</w:t>
      </w:r>
      <w:r>
        <w:t xml:space="preserve"> </w:t>
      </w:r>
      <w:r>
        <w:t xml:space="preserve">BX, Apollo, and KKR agreed to provide more than $5 billion to Williams for a 49% noncontrolling interest in five power projects—consistent with BX’s emphasis on data-center-related energy demand.</w:t>
      </w:r>
    </w:p>
    <w:p>
      <w:pPr>
        <w:pStyle w:val="Compact"/>
        <w:numPr>
          <w:ilvl w:val="0"/>
          <w:numId w:val="1005"/>
        </w:numPr>
      </w:pPr>
      <w:r>
        <w:rPr>
          <w:b/>
          <w:bCs/>
        </w:rPr>
        <w:t xml:space="preserve">Data-center execution risk:</w:t>
      </w:r>
      <w:r>
        <w:t xml:space="preserve"> </w:t>
      </w:r>
      <w:r>
        <w:t xml:space="preserve">Blackstone’s QTS reportedly abandoned a large Virginia data-center project amid regulatory and legal opposition, underscoring permitting, grid, and community-acceptance risks.</w:t>
      </w:r>
    </w:p>
    <w:p>
      <w:pPr>
        <w:pStyle w:val="Compact"/>
        <w:numPr>
          <w:ilvl w:val="0"/>
          <w:numId w:val="1005"/>
        </w:numPr>
      </w:pPr>
      <w:r>
        <w:rPr>
          <w:b/>
          <w:bCs/>
        </w:rPr>
        <w:t xml:space="preserve">Exit-market optionality:</w:t>
      </w:r>
      <w:r>
        <w:t xml:space="preserve"> </w:t>
      </w:r>
      <w:r>
        <w:t xml:space="preserve">Jersey Mike’s planned IPO could create a future monetization path for Blackstone, though it is a post-quarter development rather than a driver of 2Q reported earnings.</w:t>
      </w:r>
    </w:p>
    <w:bookmarkEnd w:id="16"/>
    <w:bookmarkStart w:id="17" w:name="stock-setup"/>
    <w:p>
      <w:pPr>
        <w:pStyle w:val="Heading2"/>
      </w:pPr>
      <w:r>
        <w:t xml:space="preserve">Stock setup</w:t>
      </w:r>
    </w:p>
    <w:p>
      <w:pPr>
        <w:pStyle w:val="FirstParagraph"/>
      </w:pPr>
      <w:r>
        <w:t xml:space="preserve">BX closed at</w:t>
      </w:r>
      <w:r>
        <w:t xml:space="preserve"> </w:t>
      </w:r>
      <m:oMath>
        <m:r>
          <m:t>122.85</m:t>
        </m:r>
        <m:r>
          <m:t>o</m:t>
        </m:r>
        <m:r>
          <m:t>n</m:t>
        </m:r>
        <m:r>
          <m:t>J</m:t>
        </m:r>
        <m:r>
          <m:t>u</m:t>
        </m:r>
        <m:r>
          <m:t>l</m:t>
        </m:r>
        <m:r>
          <m:t>y</m:t>
        </m:r>
        <m:r>
          <m:t>22</m:t>
        </m:r>
        <m:r>
          <m:rPr>
            <m:sty m:val="p"/>
          </m:rPr>
          <m:t>*</m:t>
        </m:r>
        <m:r>
          <m:rPr>
            <m:sty m:val="p"/>
          </m:rPr>
          <m:t>*</m:t>
        </m:r>
        <m:r>
          <m:rPr>
            <m:sty m:val="p"/>
          </m:rPr>
          <m:t>,</m:t>
        </m:r>
        <m:r>
          <m:t>e</m:t>
        </m:r>
        <m:r>
          <m:t>s</m:t>
        </m:r>
        <m:r>
          <m:t>s</m:t>
        </m:r>
        <m:r>
          <m:t>e</m:t>
        </m:r>
        <m:r>
          <m:t>n</m:t>
        </m:r>
        <m:r>
          <m:t>t</m:t>
        </m:r>
        <m:r>
          <m:t>i</m:t>
        </m:r>
        <m:r>
          <m:t>a</m:t>
        </m:r>
        <m:r>
          <m:t>l</m:t>
        </m:r>
        <m:r>
          <m:t>l</m:t>
        </m:r>
        <m:r>
          <m:t>y</m:t>
        </m:r>
        <m:r>
          <m:t>u</m:t>
        </m:r>
        <m:r>
          <m:t>n</m:t>
        </m:r>
        <m:r>
          <m:t>c</m:t>
        </m:r>
        <m:r>
          <m:t>h</m:t>
        </m:r>
        <m:r>
          <m:t>a</m:t>
        </m:r>
        <m:r>
          <m:t>n</m:t>
        </m:r>
        <m:r>
          <m:t>g</m:t>
        </m:r>
        <m:r>
          <m:t>e</m:t>
        </m:r>
        <m:r>
          <m:t>d</m:t>
        </m:r>
        <m:r>
          <m:t>f</m:t>
        </m:r>
        <m:r>
          <m:t>r</m:t>
        </m:r>
        <m:r>
          <m:t>o</m:t>
        </m:r>
        <m:r>
          <m:t>m</m:t>
        </m:r>
        <m:r>
          <m:t>i</m:t>
        </m:r>
        <m:r>
          <m:t>t</m:t>
        </m:r>
        <m:r>
          <m:t>s</m:t>
        </m:r>
        <m:r>
          <m:rPr>
            <m:sty m:val="p"/>
          </m:rPr>
          <m:t>*</m:t>
        </m:r>
        <m:r>
          <m:rPr>
            <m:sty m:val="p"/>
          </m:rPr>
          <m:t>*</m:t>
        </m:r>
      </m:oMath>
      <w:r>
        <w:rPr>
          <w:b/>
          <w:bCs/>
        </w:rPr>
        <w:t xml:space="preserve">122.33 close on April 23</w:t>
      </w:r>
      <w:r>
        <w:t xml:space="preserve">, the day of 1Q earnings. Over the same interval, the S&amp;P 500 rose about 5.5%. BX is also up roughly 2.3% from its June 23 close, when the company issued its realization update.</w:t>
      </w:r>
    </w:p>
    <w:p>
      <w:pPr>
        <w:pStyle w:val="BodyText"/>
      </w:pPr>
      <w:r>
        <w:t xml:space="preserve">That relative underperformance suggests investors are not simply looking for an in-line quarter. They likely want evidence that:</w:t>
      </w:r>
    </w:p>
    <w:p>
      <w:pPr>
        <w:pStyle w:val="Compact"/>
        <w:numPr>
          <w:ilvl w:val="0"/>
          <w:numId w:val="1006"/>
        </w:numPr>
      </w:pPr>
      <w:r>
        <w:t xml:space="preserve">realization activity is reaccelerating;</w:t>
      </w:r>
    </w:p>
    <w:p>
      <w:pPr>
        <w:pStyle w:val="Compact"/>
        <w:numPr>
          <w:ilvl w:val="0"/>
          <w:numId w:val="1006"/>
        </w:numPr>
      </w:pPr>
      <w:r>
        <w:t xml:space="preserve">private-credit fundraising/redemption concerns are contained;</w:t>
      </w:r>
    </w:p>
    <w:p>
      <w:pPr>
        <w:pStyle w:val="Compact"/>
        <w:numPr>
          <w:ilvl w:val="0"/>
          <w:numId w:val="1006"/>
        </w:numPr>
      </w:pPr>
      <w:r>
        <w:t xml:space="preserve">management-fee growth can inflect later this year as promised; and</w:t>
      </w:r>
    </w:p>
    <w:p>
      <w:pPr>
        <w:pStyle w:val="Compact"/>
        <w:numPr>
          <w:ilvl w:val="0"/>
          <w:numId w:val="1006"/>
        </w:numPr>
      </w:pPr>
      <w:r>
        <w:t xml:space="preserve">AI-infrastructure strength is translating into durable earnings and fundraising, rather than only favorable marks.</w:t>
      </w:r>
    </w:p>
    <w:bookmarkEnd w:id="17"/>
    <w:bookmarkStart w:id="18" w:name="preview-conclusion"/>
    <w:p>
      <w:pPr>
        <w:pStyle w:val="Heading2"/>
      </w:pPr>
      <w:r>
        <w:t xml:space="preserve">Preview conclusion</w:t>
      </w:r>
    </w:p>
    <w:p>
      <w:pPr>
        <w:pStyle w:val="FirstParagraph"/>
      </w:pPr>
      <w:r>
        <w:rPr>
          <w:b/>
          <w:bCs/>
        </w:rPr>
        <w:t xml:space="preserve">Base case:</w:t>
      </w:r>
      <w:r>
        <w:t xml:space="preserve"> </w:t>
      </w:r>
      <w:r>
        <w:t xml:space="preserve">BX delivers healthy FRE and AUM growth, inflows around the mid-$50 billions, and a realization result comfortably above the company’s June floor. That would reinforce the durability of the franchise, though the stock reaction may depend on the tone around 2H realizations and BCRED flows.</w:t>
      </w:r>
    </w:p>
    <w:p>
      <w:pPr>
        <w:pStyle w:val="BodyText"/>
      </w:pPr>
      <w:r>
        <w:rPr>
          <w:b/>
          <w:bCs/>
        </w:rPr>
        <w:t xml:space="preserve">Bull case:</w:t>
      </w:r>
      <w:r>
        <w:t xml:space="preserve"> </w:t>
      </w:r>
      <w:r>
        <w:t xml:space="preserve">Stronger-than-expected realizations, broad performance appreciation led by infrastructure, stable-to-improving private-credit wealth flows, and a dividend that supports DE above consensus.</w:t>
      </w:r>
    </w:p>
    <w:p>
      <w:pPr>
        <w:pStyle w:val="BodyText"/>
      </w:pPr>
      <w:r>
        <w:rPr>
          <w:b/>
          <w:bCs/>
        </w:rPr>
        <w:t xml:space="preserve">Bear case:</w:t>
      </w:r>
      <w:r>
        <w:t xml:space="preserve"> </w:t>
      </w:r>
      <w:r>
        <w:t xml:space="preserve">Results clear the realization floor but reveal weak exit-market breadth, softness in fee-earning credit AUM, continued BCRED redemption pressure, or less confidence in the expected late-2026 acceleration in management fees.</w:t>
      </w:r>
    </w:p>
    <w:p>
      <w:pPr>
        <w:pStyle w:val="BodyText"/>
      </w:pPr>
      <w:r>
        <w:rPr>
          <w:b/>
          <w:bCs/>
        </w:rPr>
        <w:t xml:space="preserve">Most important call questions:</w:t>
      </w:r>
    </w:p>
    <w:p>
      <w:pPr>
        <w:pStyle w:val="Compact"/>
        <w:numPr>
          <w:ilvl w:val="0"/>
          <w:numId w:val="1007"/>
        </w:numPr>
      </w:pPr>
      <w:r>
        <w:t xml:space="preserve">What was the full-quarter realization total and what is the 2H pipeline?</w:t>
      </w:r>
    </w:p>
    <w:p>
      <w:pPr>
        <w:pStyle w:val="Compact"/>
        <w:numPr>
          <w:ilvl w:val="0"/>
          <w:numId w:val="1007"/>
        </w:numPr>
      </w:pPr>
      <w:r>
        <w:t xml:space="preserve">How did BCRED gross sales, repurchases, and net flows trend in 2Q?</w:t>
      </w:r>
    </w:p>
    <w:p>
      <w:pPr>
        <w:pStyle w:val="Compact"/>
        <w:numPr>
          <w:ilvl w:val="0"/>
          <w:numId w:val="1007"/>
        </w:numPr>
      </w:pPr>
      <w:r>
        <w:t xml:space="preserve">Are credit and real-estate management-fee headwinds transitory?</w:t>
      </w:r>
    </w:p>
    <w:p>
      <w:pPr>
        <w:pStyle w:val="Compact"/>
        <w:numPr>
          <w:ilvl w:val="0"/>
          <w:numId w:val="1007"/>
        </w:numPr>
      </w:pPr>
      <w:r>
        <w:t xml:space="preserve">What is the current pace of fundraising and deployment in AI infrastructure, asset-based finance, and insurance mandates?</w:t>
      </w:r>
    </w:p>
    <w:p>
      <w:pPr>
        <w:pStyle w:val="Compact"/>
        <w:numPr>
          <w:ilvl w:val="0"/>
          <w:numId w:val="1007"/>
        </w:numPr>
      </w:pPr>
      <w:r>
        <w:t xml:space="preserve">How durable are recent data-center valuations given power availability and permitting constraints?</w:t>
      </w:r>
    </w:p>
    <w:bookmarkEnd w:id="18"/>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2026-07-23T00:36:49Z</dcterms:created>
  <dcterms:modified xsi:type="dcterms:W3CDTF">2026-07-23T00:36:49Z</dcterms:modified>
</cp:coreProperties>
</file>

<file path=docProps/custom.xml><?xml version="1.0" encoding="utf-8"?>
<Properties xmlns="http://schemas.openxmlformats.org/officeDocument/2006/custom-properties" xmlns:vt="http://schemas.openxmlformats.org/officeDocument/2006/docPropsVTypes"/>
</file>