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bx-earnings-predictions--2026-07-23"/>
    <w:p>
      <w:pPr>
        <w:pStyle w:val="Heading1"/>
      </w:pPr>
      <w:r>
        <w:t xml:space="preserve">BX Earnings Predictions — 2026-07-23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BX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Total Net Realizations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~$560M vs. cons $417M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BX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Fee-Related Earnings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~$1,610M vs. cons $1,585M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BX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Inflows - AUM (Q2 2026)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~$62B vs. cons $54.4B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Realization Trajectory (H2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'robust H2' vs. cons FY $2,309M net realizations</w:t>
            </w:r>
          </w:p>
        </w:tc>
        <w:tc>
          <w:tcPr/>
          <w:p>
            <w:pPr>
              <w:pStyle w:val="Compact"/>
            </w:pPr>
            <w:r>
              <w:t xml:space="preserve">HIGH</w:t>
            </w:r>
          </w:p>
        </w:tc>
      </w:tr>
      <w:tr>
        <w:tc>
          <w:tcPr/>
          <w:p>
            <w:pPr>
              <w:pStyle w:val="Compact"/>
            </w:pPr>
            <w:r>
              <w:t xml:space="preserve">BX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FRE Trajectory (Q3/Q4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'acceleration in H2' vs. cons FY FRE $6,385M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BX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Wealth Channel / BCRED (Q3 2026)</w:t>
            </w:r>
          </w:p>
        </w:tc>
        <w:tc>
          <w:tcPr/>
          <w:p>
            <w:pPr>
              <w:pStyle w:val="Compact"/>
            </w:pPr>
            <w:r>
              <w:t xml:space="preserve">BETTER</w:t>
            </w:r>
          </w:p>
        </w:tc>
        <w:tc>
          <w:tcPr/>
          <w:p>
            <w:pPr>
              <w:pStyle w:val="Compact"/>
            </w:pPr>
            <w:r>
              <w:t xml:space="preserve">guide stabilization/recovery vs. cons $54.4B Q3 inflows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+5.5%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BX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+7.5% (FOLLOW-THROUGH)</w:t>
            </w:r>
          </w:p>
        </w:tc>
        <w:tc>
          <w:tcPr/>
          <w:p>
            <w:pPr>
              <w:pStyle w:val="Compact"/>
            </w:pPr>
            <w:r>
              <w:t xml:space="preserve">FOLLOW-THROUGH — realization beat forces FY estimate revisions upward; short covering (23M shares) sustains bid; archetype A has followed through in both historical instances (+6.9% and +5.2%)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2026-07-25T02:01:03Z</dcterms:created>
  <dcterms:modified xsi:type="dcterms:W3CDTF">2026-07-25T02:01:03Z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