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Blackstone Inc. (BX) — Q2 2026 Earnings Preview</w:t>
      </w:r>
    </w:p>
    <w:p>
      <w:r>
        <w:rPr>
          <w:rFonts w:ascii="Calibri" w:hAnsi="Calibri"/>
          <w:b/>
          <w:color w:val="525866"/>
          <w:sz w:val="22"/>
        </w:rPr>
        <w:t xml:space="preserve">Ticker: </w:t>
      </w:r>
      <w:r>
        <w:rPr>
          <w:rFonts w:ascii="Calibri" w:hAnsi="Calibri"/>
          <w:color w:val="525866"/>
          <w:sz w:val="22"/>
        </w:rPr>
        <w:t xml:space="preserve">BX  </w:t>
      </w:r>
      <w:r>
        <w:rPr>
          <w:rFonts w:ascii="Calibri" w:hAnsi="Calibri"/>
          <w:b/>
          <w:color w:val="525866"/>
          <w:sz w:val="22"/>
        </w:rPr>
        <w:t xml:space="preserve">Earnings Date: </w:t>
      </w:r>
      <w:r>
        <w:rPr>
          <w:rFonts w:ascii="Calibri" w:hAnsi="Calibri"/>
          <w:color w:val="525866"/>
          <w:sz w:val="22"/>
        </w:rPr>
        <w:t xml:space="preserve">July 23, 2026 (Pre-Market)  </w:t>
      </w:r>
      <w:r>
        <w:rPr>
          <w:rFonts w:ascii="Calibri" w:hAnsi="Calibri"/>
          <w:b/>
          <w:color w:val="525866"/>
          <w:sz w:val="22"/>
        </w:rPr>
        <w:t xml:space="preserve">Prepared: </w:t>
      </w:r>
      <w:r>
        <w:rPr>
          <w:rFonts w:ascii="Calibri" w:hAnsi="Calibri"/>
          <w:color w:val="525866"/>
          <w:sz w:val="22"/>
        </w:rPr>
        <w:t xml:space="preserve">July 22, 2026  </w:t>
      </w:r>
      <w:r>
        <w:rPr>
          <w:rFonts w:ascii="Calibri" w:hAnsi="Calibri"/>
          <w:b/>
          <w:color w:val="525866"/>
          <w:sz w:val="22"/>
        </w:rPr>
        <w:t xml:space="preserve">Reporting Period: </w:t>
      </w:r>
      <w:r>
        <w:rPr>
          <w:rFonts w:ascii="Calibri" w:hAnsi="Calibri"/>
          <w:color w:val="525866"/>
          <w:sz w:val="22"/>
        </w:rPr>
        <w:t>Q2 2026 (quarter ending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constructive — BX issued a positive intra-quarter realization update on June 23 (&gt;$500M in realized performance revenues through June 23), wealth channel flows recovered sharply to Q1 levels by June 1, and the IPO pipeline remains active with seven additional IPOs on file globally. The bar is moderate: consensus DE EPS of ~$1.36 has drifted down ~12% since last August, creating a beatable setup, though the wildcard is whether full-quarter realizations (including the final week of June) materially exceed the June 23 preliminary estimate.</w:t>
      </w:r>
    </w:p>
    <w:p>
      <w:r>
        <w:rPr>
          <w:rFonts w:ascii="Calibri" w:hAnsi="Calibri"/>
          <w:color w:val="525866"/>
          <w:sz w:val="22"/>
        </w:rPr>
        <w:t xml:space="preserve">Heading into Q2 2026 earnings, Blackstone's setup is more constructive than the stock's year-to-date underperformance implies. </w:t>
      </w:r>
      <w:r>
        <w:rPr>
          <w:rFonts w:ascii="Calibri" w:hAnsi="Calibri"/>
          <w:color w:val="525866"/>
          <w:sz w:val="22"/>
        </w:rPr>
        <w:t xml:space="preserve">The bar is moderate: consensus DE EPS of ~$1.36 has been revised down roughly 12% from its August 2025 peak of ~$1.56, reflecting near-term caution around private credit wealth-channel redemptions (BCRED posted net outflows of $1.4B in Q1) and geopolitical-driven realization delays. However, management's June 23 intra-quarter 8-K disclosed that realized performance revenues and principal investment income for April 1–June 23 already exceeded $500M — a strong signal that Q2 realizations will be meaningfully above Q1's $448M. </w:t>
      </w:r>
      <w:r>
        <w:rPr>
          <w:rFonts w:ascii="Calibri" w:hAnsi="Calibri"/>
          <w:color w:val="525866"/>
          <w:sz w:val="22"/>
        </w:rPr>
        <w:t xml:space="preserve">Wealth channel flows, which slowed in April and May due to the Iran conflict and private credit noise, recovered sharply by June 1 to Q1 levels, with private equity inflows reaching their best level since product launch. </w:t>
      </w:r>
    </w:p>
    <w:p>
      <w:r>
        <w:rPr>
          <w:rFonts w:ascii="Calibri" w:hAnsi="Calibri"/>
          <w:color w:val="525866"/>
          <w:sz w:val="22"/>
        </w:rPr>
        <w:t xml:space="preserve">Fee-Related Earnings (FRE) should continue its steady upward trajectory — management guided to moderate sequential growth in Q2 before an acceleration in H2 as new drawdown funds clear fee holidays. </w:t>
      </w:r>
    </w:p>
    <w:p>
      <w:r>
        <w:rPr>
          <w:rFonts w:ascii="Calibri" w:hAnsi="Calibri"/>
          <w:color w:val="525866"/>
          <w:sz w:val="22"/>
        </w:rPr>
        <w:t xml:space="preserve">The stock has significantly underperformed the broader market year-to-date, trading at what management explicitly characterizes as a meaningful discount to market multiples on consensus earnings — a setup that could compress quickly if Q2 results confirm the realization inflection and wealth channel recovery. </w:t>
      </w:r>
    </w:p>
    <w:p>
      <w:r>
        <w:rPr>
          <w:rFonts w:ascii="Calibri" w:hAnsi="Calibri"/>
          <w:color w:val="525866"/>
          <w:sz w:val="22"/>
        </w:rPr>
        <w:t>The primary wildcard is the final week of June: the June 23 preliminary estimate excluded any realization activity after that date, and any large exits or incentive fee crystallizations in the last week of the quarter could drive a meaningful upside surprise to both DE and the quarterly dividend.</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moderate/beatable bar on DE EPS (~$1.36) and FRE (~$1.58B), with the June 23 intra-quarter realization update already signaling &gt;$500M in realized performance revenues through June 23 alone. </w:t>
      </w:r>
      <w:r>
        <w:rPr>
          <w:rFonts w:ascii="Calibri" w:hAnsi="Calibri"/>
          <w:color w:val="525866"/>
          <w:sz w:val="22"/>
        </w:rPr>
        <w:t>Inflows (~$54B consensus) are the bigger swing factor — a recovery in wealth channel flows and continued institutional strength could push the number above the Q1 level of $68.5B.</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Q1 2026 Actual</w:t>
            </w:r>
          </w:p>
        </w:tc>
        <w:tc>
          <w:tcPr>
            <w:tcW w:type="dxa" w:w="1440"/>
            <w:shd w:val="clear" w:color="auto" w:fill="3B4259"/>
          </w:tcPr>
          <w:p>
            <w:r>
              <w:rPr>
                <w:rFonts w:ascii="Calibri" w:hAnsi="Calibri"/>
                <w:b/>
                <w:color w:val="FFFFFF"/>
                <w:sz w:val="22"/>
              </w:rPr>
              <w:t>Q2 2025 Actual (Prior Year)</w:t>
            </w:r>
          </w:p>
        </w:tc>
        <w:tc>
          <w:tcPr>
            <w:tcW w:type="dxa" w:w="1440"/>
            <w:shd w:val="clear" w:color="auto" w:fill="3B4259"/>
          </w:tcPr>
          <w:p>
            <w:r>
              <w:rPr>
                <w:rFonts w:ascii="Calibri" w:hAnsi="Calibri"/>
                <w:b/>
                <w:color w:val="FFFFFF"/>
                <w:sz w:val="22"/>
              </w:rPr>
              <w:t>Q2 2026 Consensus Estimate</w:t>
            </w:r>
          </w:p>
        </w:tc>
        <w:tc>
          <w:tcPr>
            <w:tcW w:type="dxa" w:w="1440"/>
            <w:shd w:val="clear" w:color="auto" w:fill="3B4259"/>
          </w:tcPr>
          <w:p>
            <w:r>
              <w:rPr>
                <w:rFonts w:ascii="Calibri" w:hAnsi="Calibri"/>
                <w:b/>
                <w:color w:val="FFFFFF"/>
                <w:sz w:val="22"/>
              </w:rPr>
              <w:t>YoY Change</w:t>
            </w:r>
          </w:p>
        </w:tc>
        <w:tc>
          <w:tcPr>
            <w:tcW w:type="dxa" w:w="1440"/>
            <w:shd w:val="clear" w:color="auto" w:fill="3B4259"/>
          </w:tcPr>
          <w:p>
            <w:r>
              <w:rPr>
                <w:rFonts w:ascii="Calibri" w:hAnsi="Calibri"/>
                <w:b/>
                <w:color w:val="FFFFFF"/>
                <w:sz w:val="22"/>
              </w:rPr>
              <w:t>Guidance / Management Commentary</w:t>
            </w:r>
          </w:p>
        </w:tc>
      </w:tr>
      <w:tr>
        <w:tc>
          <w:tcPr>
            <w:tcW w:type="dxa" w:w="1440"/>
          </w:tcPr>
          <w:p>
            <w:r>
              <w:rPr>
                <w:rFonts w:ascii="Calibri" w:hAnsi="Calibri"/>
                <w:sz w:val="22"/>
              </w:rPr>
              <w:t>DE per Common Share (diluted)</w:t>
            </w:r>
          </w:p>
        </w:tc>
        <w:tc>
          <w:tcPr>
            <w:tcW w:type="dxa" w:w="1440"/>
          </w:tcPr>
          <w:p>
            <w:r>
              <w:rPr>
                <w:rFonts w:ascii="Calibri" w:hAnsi="Calibri"/>
                <w:sz w:val="22"/>
              </w:rPr>
              <w:t>$1.36</w:t>
            </w:r>
          </w:p>
        </w:tc>
        <w:tc>
          <w:tcPr>
            <w:tcW w:type="dxa" w:w="1440"/>
          </w:tcPr>
          <w:p>
            <w:r>
              <w:rPr>
                <w:rFonts w:ascii="Calibri" w:hAnsi="Calibri"/>
                <w:sz w:val="22"/>
              </w:rPr>
              <w:t>$1.21</w:t>
            </w:r>
          </w:p>
        </w:tc>
        <w:tc>
          <w:tcPr>
            <w:tcW w:type="dxa" w:w="1440"/>
          </w:tcPr>
          <w:p>
            <w:r>
              <w:rPr>
                <w:rFonts w:ascii="Calibri" w:hAnsi="Calibri"/>
                <w:sz w:val="22"/>
              </w:rPr>
              <w:t>$1.36</w:t>
            </w:r>
          </w:p>
        </w:tc>
        <w:tc>
          <w:tcPr>
            <w:tcW w:type="dxa" w:w="1440"/>
          </w:tcPr>
          <w:p>
            <w:r>
              <w:rPr>
                <w:rFonts w:ascii="Calibri" w:hAnsi="Calibri"/>
                <w:sz w:val="22"/>
              </w:rPr>
              <w:t>+12% YoY</w:t>
            </w:r>
          </w:p>
        </w:tc>
        <w:tc>
          <w:tcPr>
            <w:tcW w:type="dxa" w:w="1440"/>
          </w:tcPr>
          <w:p>
            <w:r>
              <w:rPr>
                <w:rFonts w:ascii="Calibri" w:hAnsi="Calibri"/>
                <w:sz w:val="22"/>
              </w:rPr>
              <w:t>No explicit Q2 guidance; management expects H2 acceleration in realizations contingent on geopolitical resolution</w:t>
            </w:r>
          </w:p>
        </w:tc>
      </w:tr>
      <w:tr>
        <w:tc>
          <w:tcPr>
            <w:tcW w:type="dxa" w:w="1440"/>
          </w:tcPr>
          <w:p>
            <w:r>
              <w:rPr>
                <w:rFonts w:ascii="Calibri" w:hAnsi="Calibri"/>
                <w:sz w:val="22"/>
              </w:rPr>
              <w:t>Fee-Related Earnings (FRE)</w:t>
            </w:r>
          </w:p>
        </w:tc>
        <w:tc>
          <w:tcPr>
            <w:tcW w:type="dxa" w:w="1440"/>
          </w:tcPr>
          <w:p>
            <w:r>
              <w:rPr>
                <w:rFonts w:ascii="Calibri" w:hAnsi="Calibri"/>
                <w:sz w:val="22"/>
              </w:rPr>
              <w:t>$1,548M</w:t>
            </w:r>
          </w:p>
        </w:tc>
        <w:tc>
          <w:tcPr>
            <w:tcW w:type="dxa" w:w="1440"/>
          </w:tcPr>
          <w:p>
            <w:r>
              <w:rPr>
                <w:rFonts w:ascii="Calibri" w:hAnsi="Calibri"/>
                <w:sz w:val="22"/>
              </w:rPr>
              <w:t>$1,460M</w:t>
            </w:r>
          </w:p>
        </w:tc>
        <w:tc>
          <w:tcPr>
            <w:tcW w:type="dxa" w:w="1440"/>
          </w:tcPr>
          <w:p>
            <w:r>
              <w:rPr>
                <w:rFonts w:ascii="Calibri" w:hAnsi="Calibri"/>
                <w:sz w:val="22"/>
              </w:rPr>
              <w:t>$1,585M</w:t>
            </w:r>
          </w:p>
        </w:tc>
        <w:tc>
          <w:tcPr>
            <w:tcW w:type="dxa" w:w="1440"/>
          </w:tcPr>
          <w:p>
            <w:r>
              <w:rPr>
                <w:rFonts w:ascii="Calibri" w:hAnsi="Calibri"/>
                <w:sz w:val="22"/>
              </w:rPr>
              <w:t>+8.6% YoY</w:t>
            </w:r>
          </w:p>
        </w:tc>
        <w:tc>
          <w:tcPr>
            <w:tcW w:type="dxa" w:w="1440"/>
          </w:tcPr>
          <w:p>
            <w:r>
              <w:rPr>
                <w:rFonts w:ascii="Calibri" w:hAnsi="Calibri"/>
                <w:sz w:val="22"/>
              </w:rPr>
              <w:t>CFO guided to moderate sequential growth in Q2 before acceleration in H2 as drawdown funds clear fee holidays</w:t>
            </w:r>
          </w:p>
        </w:tc>
      </w:tr>
      <w:tr>
        <w:tc>
          <w:tcPr>
            <w:tcW w:type="dxa" w:w="1440"/>
          </w:tcPr>
          <w:p>
            <w:r>
              <w:rPr>
                <w:rFonts w:ascii="Calibri" w:hAnsi="Calibri"/>
                <w:sz w:val="22"/>
              </w:rPr>
              <w:t>Inflows — AUM</w:t>
            </w:r>
          </w:p>
        </w:tc>
        <w:tc>
          <w:tcPr>
            <w:tcW w:type="dxa" w:w="1440"/>
          </w:tcPr>
          <w:p>
            <w:r>
              <w:rPr>
                <w:rFonts w:ascii="Calibri" w:hAnsi="Calibri"/>
                <w:sz w:val="22"/>
              </w:rPr>
              <w:t>$68.5B</w:t>
            </w:r>
          </w:p>
        </w:tc>
        <w:tc>
          <w:tcPr>
            <w:tcW w:type="dxa" w:w="1440"/>
          </w:tcPr>
          <w:p>
            <w:r>
              <w:rPr>
                <w:rFonts w:ascii="Calibri" w:hAnsi="Calibri"/>
                <w:sz w:val="22"/>
              </w:rPr>
              <w:t>$52.1B</w:t>
            </w:r>
          </w:p>
        </w:tc>
        <w:tc>
          <w:tcPr>
            <w:tcW w:type="dxa" w:w="1440"/>
          </w:tcPr>
          <w:p>
            <w:r>
              <w:rPr>
                <w:rFonts w:ascii="Calibri" w:hAnsi="Calibri"/>
                <w:sz w:val="22"/>
              </w:rPr>
              <w:t>$54.4B</w:t>
            </w:r>
          </w:p>
        </w:tc>
        <w:tc>
          <w:tcPr>
            <w:tcW w:type="dxa" w:w="1440"/>
          </w:tcPr>
          <w:p>
            <w:r>
              <w:rPr>
                <w:rFonts w:ascii="Calibri" w:hAnsi="Calibri"/>
                <w:sz w:val="22"/>
              </w:rPr>
              <w:t>+4.4% YoY</w:t>
            </w:r>
          </w:p>
        </w:tc>
        <w:tc>
          <w:tcPr>
            <w:tcW w:type="dxa" w:w="1440"/>
          </w:tcPr>
          <w:p>
            <w:r>
              <w:rPr>
                <w:rFonts w:ascii="Calibri" w:hAnsi="Calibri"/>
                <w:sz w:val="22"/>
              </w:rPr>
              <w:t>Wealth channel recovered to Q1 levels by June 1; institutional and insurance remain robust; no formal guidance</w:t>
            </w:r>
          </w:p>
        </w:tc>
      </w:tr>
      <w:tr>
        <w:tc>
          <w:tcPr>
            <w:tcW w:type="dxa" w:w="1440"/>
          </w:tcPr>
          <w:p>
            <w:r>
              <w:rPr>
                <w:rFonts w:ascii="Calibri" w:hAnsi="Calibri"/>
                <w:sz w:val="22"/>
              </w:rPr>
              <w:t>Total Net Realizations</w:t>
            </w:r>
          </w:p>
        </w:tc>
        <w:tc>
          <w:tcPr>
            <w:tcW w:type="dxa" w:w="1440"/>
          </w:tcPr>
          <w:p>
            <w:r>
              <w:rPr>
                <w:rFonts w:ascii="Calibri" w:hAnsi="Calibri"/>
                <w:sz w:val="22"/>
              </w:rPr>
              <w:t>$448M</w:t>
            </w:r>
          </w:p>
        </w:tc>
        <w:tc>
          <w:tcPr>
            <w:tcW w:type="dxa" w:w="1440"/>
          </w:tcPr>
          <w:p>
            <w:r>
              <w:rPr>
                <w:rFonts w:ascii="Calibri" w:hAnsi="Calibri"/>
                <w:sz w:val="22"/>
              </w:rPr>
              <w:t>$326M</w:t>
            </w:r>
          </w:p>
        </w:tc>
        <w:tc>
          <w:tcPr>
            <w:tcW w:type="dxa" w:w="1440"/>
          </w:tcPr>
          <w:p>
            <w:r>
              <w:rPr>
                <w:rFonts w:ascii="Calibri" w:hAnsi="Calibri"/>
                <w:sz w:val="22"/>
              </w:rPr>
              <w:t>$417M</w:t>
            </w:r>
          </w:p>
        </w:tc>
        <w:tc>
          <w:tcPr>
            <w:tcW w:type="dxa" w:w="1440"/>
          </w:tcPr>
          <w:p>
            <w:r>
              <w:rPr>
                <w:rFonts w:ascii="Calibri" w:hAnsi="Calibri"/>
                <w:sz w:val="22"/>
              </w:rPr>
              <w:t>+27.9% YoY</w:t>
            </w:r>
          </w:p>
        </w:tc>
        <w:tc>
          <w:tcPr>
            <w:tcW w:type="dxa" w:w="1440"/>
          </w:tcPr>
          <w:p>
            <w:r>
              <w:rPr>
                <w:rFonts w:ascii="Calibri" w:hAnsi="Calibri"/>
                <w:sz w:val="22"/>
              </w:rPr>
              <w:t>June 23 8-K: &gt;$500M in realized performance revenues + principal investment income through June 23 alone; full-quarter figure will be higher</w:t>
            </w:r>
          </w:p>
        </w:tc>
      </w:tr>
      <w:tr>
        <w:tc>
          <w:tcPr>
            <w:tcW w:type="dxa" w:w="1440"/>
          </w:tcPr>
          <w:p>
            <w:r>
              <w:rPr>
                <w:rFonts w:ascii="Calibri" w:hAnsi="Calibri"/>
                <w:sz w:val="22"/>
              </w:rPr>
              <w:t>End of Period AUM</w:t>
            </w:r>
          </w:p>
        </w:tc>
        <w:tc>
          <w:tcPr>
            <w:tcW w:type="dxa" w:w="1440"/>
          </w:tcPr>
          <w:p>
            <w:r>
              <w:rPr>
                <w:rFonts w:ascii="Calibri" w:hAnsi="Calibri"/>
                <w:sz w:val="22"/>
              </w:rPr>
              <w:t>$1,304B</w:t>
            </w:r>
          </w:p>
        </w:tc>
        <w:tc>
          <w:tcPr>
            <w:tcW w:type="dxa" w:w="1440"/>
          </w:tcPr>
          <w:p>
            <w:r>
              <w:rPr>
                <w:rFonts w:ascii="Calibri" w:hAnsi="Calibri"/>
                <w:sz w:val="22"/>
              </w:rPr>
              <w:t>$1,211B</w:t>
            </w:r>
          </w:p>
        </w:tc>
        <w:tc>
          <w:tcPr>
            <w:tcW w:type="dxa" w:w="1440"/>
          </w:tcPr>
          <w:p>
            <w:r>
              <w:rPr>
                <w:rFonts w:ascii="Calibri" w:hAnsi="Calibri"/>
                <w:sz w:val="22"/>
              </w:rPr>
              <w:t>$1,334B</w:t>
            </w:r>
          </w:p>
        </w:tc>
        <w:tc>
          <w:tcPr>
            <w:tcW w:type="dxa" w:w="1440"/>
          </w:tcPr>
          <w:p>
            <w:r>
              <w:rPr>
                <w:rFonts w:ascii="Calibri" w:hAnsi="Calibri"/>
                <w:sz w:val="22"/>
              </w:rPr>
              <w:t>+10.2% YoY</w:t>
            </w:r>
          </w:p>
        </w:tc>
        <w:tc>
          <w:tcPr>
            <w:tcW w:type="dxa" w:w="1440"/>
          </w:tcPr>
          <w:p>
            <w:r>
              <w:rPr>
                <w:rFonts w:ascii="Calibri" w:hAnsi="Calibri"/>
                <w:sz w:val="22"/>
              </w:rPr>
              <w:t>Steady double-digit AUM growth; perpetual capital growing faster at high-teens pace</w:t>
            </w:r>
          </w:p>
        </w:tc>
      </w:tr>
      <w:tr>
        <w:tc>
          <w:tcPr>
            <w:tcW w:type="dxa" w:w="1440"/>
          </w:tcPr>
          <w:p>
            <w:r>
              <w:rPr>
                <w:rFonts w:ascii="Calibri" w:hAnsi="Calibri"/>
                <w:sz w:val="22"/>
              </w:rPr>
              <w:t>Net Accrued Performance Revenues</w:t>
            </w:r>
          </w:p>
        </w:tc>
        <w:tc>
          <w:tcPr>
            <w:tcW w:type="dxa" w:w="1440"/>
          </w:tcPr>
          <w:p>
            <w:r>
              <w:rPr>
                <w:rFonts w:ascii="Calibri" w:hAnsi="Calibri"/>
                <w:sz w:val="22"/>
              </w:rPr>
              <w:t>$7.0B ($5.69/share)</w:t>
            </w:r>
          </w:p>
        </w:tc>
        <w:tc>
          <w:tcPr>
            <w:tcW w:type="dxa" w:w="1440"/>
          </w:tcPr>
          <w:p>
            <w:r>
              <w:rPr>
                <w:rFonts w:ascii="Calibri" w:hAnsi="Calibri"/>
                <w:sz w:val="22"/>
              </w:rPr>
              <w:t>$6.6B</w:t>
            </w:r>
          </w:p>
        </w:tc>
        <w:tc>
          <w:tcPr>
            <w:tcW w:type="dxa" w:w="1440"/>
          </w:tcPr>
          <w:p>
            <w:r>
              <w:rPr>
                <w:rFonts w:ascii="Calibri" w:hAnsi="Calibri"/>
                <w:sz w:val="22"/>
              </w:rPr>
              <w:t>$7.3B</w:t>
            </w:r>
          </w:p>
        </w:tc>
        <w:tc>
          <w:tcPr>
            <w:tcW w:type="dxa" w:w="1440"/>
          </w:tcPr>
          <w:p>
            <w:r>
              <w:rPr>
                <w:rFonts w:ascii="Calibri" w:hAnsi="Calibri"/>
                <w:sz w:val="22"/>
              </w:rPr>
              <w:t>+10.6% YoY</w:t>
            </w:r>
          </w:p>
        </w:tc>
        <w:tc>
          <w:tcPr>
            <w:tcW w:type="dxa" w:w="1440"/>
          </w:tcPr>
          <w:p>
            <w:r>
              <w:rPr>
                <w:rFonts w:ascii="Calibri" w:hAnsi="Calibri"/>
                <w:sz w:val="22"/>
              </w:rPr>
              <w:t>Highest level in 3.5 years as of Q1; strong investment performance expected to continue lifting this metric</w:t>
            </w:r>
          </w:p>
        </w:tc>
      </w:tr>
    </w:tbl>
    <w:p>
      <w:r>
        <w:rPr>
          <w:rFonts w:ascii="Calibri" w:hAnsi="Calibri"/>
          <w:i/>
          <w:color w:val="525866"/>
          <w:sz w:val="22"/>
        </w:rPr>
        <w:t>Source: Visible Alpha Consensus and Actuals Data; BX Q1 2026 Earnings Release (April 23, 2026); BX June 23, 2026 8-K Realization Update.</w:t>
      </w:r>
    </w:p>
    <w:p>
      <w:pPr>
        <w:pStyle w:val="Heading3"/>
      </w:pPr>
      <w:r>
        <w:rPr>
          <w:rFonts w:ascii="Calibri" w:hAnsi="Calibri"/>
          <w:b/>
          <w:color w:val="3B4259"/>
          <w:sz w:val="24"/>
        </w:rPr>
        <w:t>Table 2 — Beat/Miss History (Last 8 Quarters, Top 2 KPIs: DE EPS &amp; FRE)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DE EPS</w:t>
            </w:r>
          </w:p>
        </w:tc>
        <w:tc>
          <w:tcPr>
            <w:tcW w:type="dxa" w:w="1440"/>
          </w:tcPr>
          <w:p>
            <w:r>
              <w:rPr>
                <w:rFonts w:ascii="Calibri" w:hAnsi="Calibri"/>
                <w:sz w:val="22"/>
              </w:rPr>
              <w:t>$1.36</w:t>
            </w:r>
          </w:p>
        </w:tc>
        <w:tc>
          <w:tcPr>
            <w:tcW w:type="dxa" w:w="1440"/>
          </w:tcPr>
          <w:p>
            <w:r>
              <w:rPr>
                <w:rFonts w:ascii="Calibri" w:hAnsi="Calibri"/>
                <w:sz w:val="22"/>
              </w:rPr>
              <w:t>$1.35</w:t>
            </w:r>
          </w:p>
        </w:tc>
        <w:tc>
          <w:tcPr>
            <w:tcW w:type="dxa" w:w="1440"/>
          </w:tcPr>
          <w:p>
            <w:r>
              <w:rPr>
                <w:rFonts w:ascii="Calibri" w:hAnsi="Calibri"/>
                <w:sz w:val="22"/>
              </w:rPr>
              <w:t>+0.7%</w:t>
            </w:r>
          </w:p>
        </w:tc>
        <w:tc>
          <w:tcPr>
            <w:tcW w:type="dxa" w:w="1440"/>
          </w:tcPr>
          <w:p>
            <w:r>
              <w:rPr>
                <w:rFonts w:ascii="Calibri" w:hAnsi="Calibri"/>
                <w:b/>
                <w:color w:val="30A46C"/>
                <w:sz w:val="22"/>
              </w:rPr>
              <w:t>Modest Beat</w:t>
            </w:r>
          </w:p>
        </w:tc>
      </w:tr>
      <w:tr>
        <w:tc>
          <w:tcPr>
            <w:tcW w:type="dxa" w:w="1440"/>
          </w:tcPr>
          <w:p>
            <w:r>
              <w:rPr>
                <w:rFonts w:ascii="Calibri" w:hAnsi="Calibri"/>
                <w:sz w:val="22"/>
              </w:rPr>
              <w:t>Q1 2026</w:t>
            </w:r>
          </w:p>
        </w:tc>
        <w:tc>
          <w:tcPr>
            <w:tcW w:type="dxa" w:w="1440"/>
          </w:tcPr>
          <w:p>
            <w:r>
              <w:rPr>
                <w:rFonts w:ascii="Calibri" w:hAnsi="Calibri"/>
                <w:sz w:val="22"/>
              </w:rPr>
              <w:t>FRE</w:t>
            </w:r>
          </w:p>
        </w:tc>
        <w:tc>
          <w:tcPr>
            <w:tcW w:type="dxa" w:w="1440"/>
          </w:tcPr>
          <w:p>
            <w:r>
              <w:rPr>
                <w:rFonts w:ascii="Calibri" w:hAnsi="Calibri"/>
                <w:sz w:val="22"/>
              </w:rPr>
              <w:t>$1,548M</w:t>
            </w:r>
          </w:p>
        </w:tc>
        <w:tc>
          <w:tcPr>
            <w:tcW w:type="dxa" w:w="1440"/>
          </w:tcPr>
          <w:p>
            <w:r>
              <w:rPr>
                <w:rFonts w:ascii="Calibri" w:hAnsi="Calibri"/>
                <w:sz w:val="22"/>
              </w:rPr>
              <w:t>$1,532M</w:t>
            </w:r>
          </w:p>
        </w:tc>
        <w:tc>
          <w:tcPr>
            <w:tcW w:type="dxa" w:w="1440"/>
          </w:tcPr>
          <w:p>
            <w:r>
              <w:rPr>
                <w:rFonts w:ascii="Calibri" w:hAnsi="Calibri"/>
                <w:sz w:val="22"/>
              </w:rPr>
              <w:t>+1.0%</w:t>
            </w:r>
          </w:p>
        </w:tc>
        <w:tc>
          <w:tcPr>
            <w:tcW w:type="dxa" w:w="1440"/>
          </w:tcPr>
          <w:p>
            <w:r>
              <w:rPr>
                <w:rFonts w:ascii="Calibri" w:hAnsi="Calibri"/>
                <w:b/>
                <w:color w:val="30A46C"/>
                <w:sz w:val="22"/>
              </w:rPr>
              <w:t>Modest Beat</w:t>
            </w:r>
          </w:p>
        </w:tc>
      </w:tr>
      <w:tr>
        <w:tc>
          <w:tcPr>
            <w:tcW w:type="dxa" w:w="1440"/>
          </w:tcPr>
          <w:p>
            <w:r>
              <w:rPr>
                <w:rFonts w:ascii="Calibri" w:hAnsi="Calibri"/>
                <w:sz w:val="22"/>
              </w:rPr>
              <w:t>Q4 2025</w:t>
            </w:r>
          </w:p>
        </w:tc>
        <w:tc>
          <w:tcPr>
            <w:tcW w:type="dxa" w:w="1440"/>
          </w:tcPr>
          <w:p>
            <w:r>
              <w:rPr>
                <w:rFonts w:ascii="Calibri" w:hAnsi="Calibri"/>
                <w:sz w:val="22"/>
              </w:rPr>
              <w:t>DE EPS</w:t>
            </w:r>
          </w:p>
        </w:tc>
        <w:tc>
          <w:tcPr>
            <w:tcW w:type="dxa" w:w="1440"/>
          </w:tcPr>
          <w:p>
            <w:r>
              <w:rPr>
                <w:rFonts w:ascii="Calibri" w:hAnsi="Calibri"/>
                <w:sz w:val="22"/>
              </w:rPr>
              <w:t>$1.75</w:t>
            </w:r>
          </w:p>
        </w:tc>
        <w:tc>
          <w:tcPr>
            <w:tcW w:type="dxa" w:w="1440"/>
          </w:tcPr>
          <w:p>
            <w:r>
              <w:rPr>
                <w:rFonts w:ascii="Calibri" w:hAnsi="Calibri"/>
                <w:sz w:val="22"/>
              </w:rPr>
              <w:t>$1.53</w:t>
            </w:r>
          </w:p>
        </w:tc>
        <w:tc>
          <w:tcPr>
            <w:tcW w:type="dxa" w:w="1440"/>
          </w:tcPr>
          <w:p>
            <w:r>
              <w:rPr>
                <w:rFonts w:ascii="Calibri" w:hAnsi="Calibri"/>
                <w:sz w:val="22"/>
              </w:rPr>
              <w:t>+14.4%</w:t>
            </w:r>
          </w:p>
        </w:tc>
        <w:tc>
          <w:tcPr>
            <w:tcW w:type="dxa" w:w="1440"/>
          </w:tcPr>
          <w:p>
            <w:r>
              <w:rPr>
                <w:rFonts w:ascii="Calibri" w:hAnsi="Calibri"/>
                <w:b/>
                <w:color w:val="30A46C"/>
                <w:sz w:val="22"/>
              </w:rPr>
              <w:t>Strong Beat</w:t>
            </w:r>
          </w:p>
        </w:tc>
      </w:tr>
      <w:tr>
        <w:tc>
          <w:tcPr>
            <w:tcW w:type="dxa" w:w="1440"/>
          </w:tcPr>
          <w:p>
            <w:r>
              <w:rPr>
                <w:rFonts w:ascii="Calibri" w:hAnsi="Calibri"/>
                <w:sz w:val="22"/>
              </w:rPr>
              <w:t>Q4 2025</w:t>
            </w:r>
          </w:p>
        </w:tc>
        <w:tc>
          <w:tcPr>
            <w:tcW w:type="dxa" w:w="1440"/>
          </w:tcPr>
          <w:p>
            <w:r>
              <w:rPr>
                <w:rFonts w:ascii="Calibri" w:hAnsi="Calibri"/>
                <w:sz w:val="22"/>
              </w:rPr>
              <w:t>FRE</w:t>
            </w:r>
          </w:p>
        </w:tc>
        <w:tc>
          <w:tcPr>
            <w:tcW w:type="dxa" w:w="1440"/>
          </w:tcPr>
          <w:p>
            <w:r>
              <w:rPr>
                <w:rFonts w:ascii="Calibri" w:hAnsi="Calibri"/>
                <w:sz w:val="22"/>
              </w:rPr>
              <w:t>$1,535M</w:t>
            </w:r>
          </w:p>
        </w:tc>
        <w:tc>
          <w:tcPr>
            <w:tcW w:type="dxa" w:w="1440"/>
          </w:tcPr>
          <w:p>
            <w:r>
              <w:rPr>
                <w:rFonts w:ascii="Calibri" w:hAnsi="Calibri"/>
                <w:sz w:val="22"/>
              </w:rPr>
              <w:t>$1,477M</w:t>
            </w:r>
          </w:p>
        </w:tc>
        <w:tc>
          <w:tcPr>
            <w:tcW w:type="dxa" w:w="1440"/>
          </w:tcPr>
          <w:p>
            <w:r>
              <w:rPr>
                <w:rFonts w:ascii="Calibri" w:hAnsi="Calibri"/>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DE EPS</w:t>
            </w:r>
          </w:p>
        </w:tc>
        <w:tc>
          <w:tcPr>
            <w:tcW w:type="dxa" w:w="1440"/>
          </w:tcPr>
          <w:p>
            <w:r>
              <w:rPr>
                <w:rFonts w:ascii="Calibri" w:hAnsi="Calibri"/>
                <w:sz w:val="22"/>
              </w:rPr>
              <w:t>$1.52</w:t>
            </w:r>
          </w:p>
        </w:tc>
        <w:tc>
          <w:tcPr>
            <w:tcW w:type="dxa" w:w="1440"/>
          </w:tcPr>
          <w:p>
            <w:r>
              <w:rPr>
                <w:rFonts w:ascii="Calibri" w:hAnsi="Calibri"/>
                <w:sz w:val="22"/>
              </w:rPr>
              <w:t>$1.22</w:t>
            </w:r>
          </w:p>
        </w:tc>
        <w:tc>
          <w:tcPr>
            <w:tcW w:type="dxa" w:w="1440"/>
          </w:tcPr>
          <w:p>
            <w:r>
              <w:rPr>
                <w:rFonts w:ascii="Calibri" w:hAnsi="Calibri"/>
                <w:sz w:val="22"/>
              </w:rPr>
              <w:t>+24.6%</w:t>
            </w:r>
          </w:p>
        </w:tc>
        <w:tc>
          <w:tcPr>
            <w:tcW w:type="dxa" w:w="1440"/>
          </w:tcPr>
          <w:p>
            <w:r>
              <w:rPr>
                <w:rFonts w:ascii="Calibri" w:hAnsi="Calibri"/>
                <w:b/>
                <w:color w:val="30A46C"/>
                <w:sz w:val="22"/>
              </w:rPr>
              <w:t>Strong Beat</w:t>
            </w:r>
          </w:p>
        </w:tc>
      </w:tr>
      <w:tr>
        <w:tc>
          <w:tcPr>
            <w:tcW w:type="dxa" w:w="1440"/>
          </w:tcPr>
          <w:p>
            <w:r>
              <w:rPr>
                <w:rFonts w:ascii="Calibri" w:hAnsi="Calibri"/>
                <w:sz w:val="22"/>
              </w:rPr>
              <w:t>Q3 2025</w:t>
            </w:r>
          </w:p>
        </w:tc>
        <w:tc>
          <w:tcPr>
            <w:tcW w:type="dxa" w:w="1440"/>
          </w:tcPr>
          <w:p>
            <w:r>
              <w:rPr>
                <w:rFonts w:ascii="Calibri" w:hAnsi="Calibri"/>
                <w:sz w:val="22"/>
              </w:rPr>
              <w:t>FRE</w:t>
            </w:r>
          </w:p>
        </w:tc>
        <w:tc>
          <w:tcPr>
            <w:tcW w:type="dxa" w:w="1440"/>
          </w:tcPr>
          <w:p>
            <w:r>
              <w:rPr>
                <w:rFonts w:ascii="Calibri" w:hAnsi="Calibri"/>
                <w:sz w:val="22"/>
              </w:rPr>
              <w:t>$1,481M</w:t>
            </w:r>
          </w:p>
        </w:tc>
        <w:tc>
          <w:tcPr>
            <w:tcW w:type="dxa" w:w="1440"/>
          </w:tcPr>
          <w:p>
            <w:r>
              <w:rPr>
                <w:rFonts w:ascii="Calibri" w:hAnsi="Calibri"/>
                <w:sz w:val="22"/>
              </w:rPr>
              <w:t>$1,443M</w:t>
            </w:r>
          </w:p>
        </w:tc>
        <w:tc>
          <w:tcPr>
            <w:tcW w:type="dxa" w:w="1440"/>
          </w:tcPr>
          <w:p>
            <w:r>
              <w:rPr>
                <w:rFonts w:ascii="Calibri" w:hAnsi="Calibri"/>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DE EPS</w:t>
            </w:r>
          </w:p>
        </w:tc>
        <w:tc>
          <w:tcPr>
            <w:tcW w:type="dxa" w:w="1440"/>
          </w:tcPr>
          <w:p>
            <w:r>
              <w:rPr>
                <w:rFonts w:ascii="Calibri" w:hAnsi="Calibri"/>
                <w:sz w:val="22"/>
              </w:rPr>
              <w:t>$1.21</w:t>
            </w:r>
          </w:p>
        </w:tc>
        <w:tc>
          <w:tcPr>
            <w:tcW w:type="dxa" w:w="1440"/>
          </w:tcPr>
          <w:p>
            <w:r>
              <w:rPr>
                <w:rFonts w:ascii="Calibri" w:hAnsi="Calibri"/>
                <w:sz w:val="22"/>
              </w:rPr>
              <w:t>$1.11</w:t>
            </w:r>
          </w:p>
        </w:tc>
        <w:tc>
          <w:tcPr>
            <w:tcW w:type="dxa" w:w="1440"/>
          </w:tcPr>
          <w:p>
            <w:r>
              <w:rPr>
                <w:rFonts w:ascii="Calibri" w:hAnsi="Calibri"/>
                <w:sz w:val="22"/>
              </w:rPr>
              <w:t>+9.0%</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FRE</w:t>
            </w:r>
          </w:p>
        </w:tc>
        <w:tc>
          <w:tcPr>
            <w:tcW w:type="dxa" w:w="1440"/>
          </w:tcPr>
          <w:p>
            <w:r>
              <w:rPr>
                <w:rFonts w:ascii="Calibri" w:hAnsi="Calibri"/>
                <w:sz w:val="22"/>
              </w:rPr>
              <w:t>$1,460M</w:t>
            </w:r>
          </w:p>
        </w:tc>
        <w:tc>
          <w:tcPr>
            <w:tcW w:type="dxa" w:w="1440"/>
          </w:tcPr>
          <w:p>
            <w:r>
              <w:rPr>
                <w:rFonts w:ascii="Calibri" w:hAnsi="Calibri"/>
                <w:sz w:val="22"/>
              </w:rPr>
              <w:t>$1,359M</w:t>
            </w:r>
          </w:p>
        </w:tc>
        <w:tc>
          <w:tcPr>
            <w:tcW w:type="dxa" w:w="1440"/>
          </w:tcPr>
          <w:p>
            <w:r>
              <w:rPr>
                <w:rFonts w:ascii="Calibri" w:hAnsi="Calibri"/>
                <w:sz w:val="22"/>
              </w:rPr>
              <w:t>+7.4%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DE EPS</w:t>
            </w:r>
          </w:p>
        </w:tc>
        <w:tc>
          <w:tcPr>
            <w:tcW w:type="dxa" w:w="1440"/>
          </w:tcPr>
          <w:p>
            <w:r>
              <w:rPr>
                <w:rFonts w:ascii="Calibri" w:hAnsi="Calibri"/>
                <w:sz w:val="22"/>
              </w:rPr>
              <w:t>$1.09</w:t>
            </w:r>
          </w:p>
        </w:tc>
        <w:tc>
          <w:tcPr>
            <w:tcW w:type="dxa" w:w="1440"/>
          </w:tcPr>
          <w:p>
            <w:r>
              <w:rPr>
                <w:rFonts w:ascii="Calibri" w:hAnsi="Calibri"/>
                <w:sz w:val="22"/>
              </w:rPr>
              <w:t>$1.06</w:t>
            </w:r>
          </w:p>
        </w:tc>
        <w:tc>
          <w:tcPr>
            <w:tcW w:type="dxa" w:w="1440"/>
          </w:tcPr>
          <w:p>
            <w:r>
              <w:rPr>
                <w:rFonts w:ascii="Calibri" w:hAnsi="Calibri"/>
                <w:sz w:val="22"/>
              </w:rPr>
              <w:t>+2.8%</w:t>
            </w:r>
          </w:p>
        </w:tc>
        <w:tc>
          <w:tcPr>
            <w:tcW w:type="dxa" w:w="1440"/>
          </w:tcPr>
          <w:p>
            <w:r>
              <w:rPr>
                <w:rFonts w:ascii="Calibri" w:hAnsi="Calibri"/>
                <w:b/>
                <w:color w:val="30A46C"/>
                <w:sz w:val="22"/>
              </w:rPr>
              <w:t>Modest Beat</w:t>
            </w:r>
          </w:p>
        </w:tc>
      </w:tr>
      <w:tr>
        <w:tc>
          <w:tcPr>
            <w:tcW w:type="dxa" w:w="1440"/>
          </w:tcPr>
          <w:p>
            <w:r>
              <w:rPr>
                <w:rFonts w:ascii="Calibri" w:hAnsi="Calibri"/>
                <w:sz w:val="22"/>
              </w:rPr>
              <w:t>Q1 2025</w:t>
            </w:r>
          </w:p>
        </w:tc>
        <w:tc>
          <w:tcPr>
            <w:tcW w:type="dxa" w:w="1440"/>
          </w:tcPr>
          <w:p>
            <w:r>
              <w:rPr>
                <w:rFonts w:ascii="Calibri" w:hAnsi="Calibri"/>
                <w:sz w:val="22"/>
              </w:rPr>
              <w:t>FRE</w:t>
            </w:r>
          </w:p>
        </w:tc>
        <w:tc>
          <w:tcPr>
            <w:tcW w:type="dxa" w:w="1440"/>
          </w:tcPr>
          <w:p>
            <w:r>
              <w:rPr>
                <w:rFonts w:ascii="Calibri" w:hAnsi="Calibri"/>
                <w:sz w:val="22"/>
              </w:rPr>
              <w:t>$1,262M</w:t>
            </w:r>
          </w:p>
        </w:tc>
        <w:tc>
          <w:tcPr>
            <w:tcW w:type="dxa" w:w="1440"/>
          </w:tcPr>
          <w:p>
            <w:r>
              <w:rPr>
                <w:rFonts w:ascii="Calibri" w:hAnsi="Calibri"/>
                <w:sz w:val="22"/>
              </w:rPr>
              <w:t>$1,249M</w:t>
            </w:r>
          </w:p>
        </w:tc>
        <w:tc>
          <w:tcPr>
            <w:tcW w:type="dxa" w:w="1440"/>
          </w:tcPr>
          <w:p>
            <w:r>
              <w:rPr>
                <w:rFonts w:ascii="Calibri" w:hAnsi="Calibri"/>
                <w:sz w:val="22"/>
              </w:rPr>
              <w:t>+1.0%</w:t>
            </w:r>
          </w:p>
        </w:tc>
        <w:tc>
          <w:tcPr>
            <w:tcW w:type="dxa" w:w="1440"/>
          </w:tcPr>
          <w:p>
            <w:r>
              <w:rPr>
                <w:rFonts w:ascii="Calibri" w:hAnsi="Calibri"/>
                <w:b/>
                <w:color w:val="30A46C"/>
                <w:sz w:val="22"/>
              </w:rPr>
              <w:t>Modest Beat</w:t>
            </w:r>
          </w:p>
        </w:tc>
      </w:tr>
      <w:tr>
        <w:tc>
          <w:tcPr>
            <w:tcW w:type="dxa" w:w="1440"/>
          </w:tcPr>
          <w:p>
            <w:r>
              <w:rPr>
                <w:rFonts w:ascii="Calibri" w:hAnsi="Calibri"/>
                <w:sz w:val="22"/>
              </w:rPr>
              <w:t>Q4 2024</w:t>
            </w:r>
          </w:p>
        </w:tc>
        <w:tc>
          <w:tcPr>
            <w:tcW w:type="dxa" w:w="1440"/>
          </w:tcPr>
          <w:p>
            <w:r>
              <w:rPr>
                <w:rFonts w:ascii="Calibri" w:hAnsi="Calibri"/>
                <w:sz w:val="22"/>
              </w:rPr>
              <w:t>DE EPS</w:t>
            </w:r>
          </w:p>
        </w:tc>
        <w:tc>
          <w:tcPr>
            <w:tcW w:type="dxa" w:w="1440"/>
          </w:tcPr>
          <w:p>
            <w:r>
              <w:rPr>
                <w:rFonts w:ascii="Calibri" w:hAnsi="Calibri"/>
                <w:sz w:val="22"/>
              </w:rPr>
              <w:t>$1.69</w:t>
            </w:r>
          </w:p>
        </w:tc>
        <w:tc>
          <w:tcPr>
            <w:tcW w:type="dxa" w:w="1440"/>
          </w:tcPr>
          <w:p>
            <w:r>
              <w:rPr>
                <w:rFonts w:ascii="Calibri" w:hAnsi="Calibri"/>
                <w:sz w:val="22"/>
              </w:rPr>
              <w:t>$1.48</w:t>
            </w:r>
          </w:p>
        </w:tc>
        <w:tc>
          <w:tcPr>
            <w:tcW w:type="dxa" w:w="1440"/>
          </w:tcPr>
          <w:p>
            <w:r>
              <w:rPr>
                <w:rFonts w:ascii="Calibri" w:hAnsi="Calibri"/>
                <w:sz w:val="22"/>
              </w:rPr>
              <w:t>+14.2%</w:t>
            </w:r>
          </w:p>
        </w:tc>
        <w:tc>
          <w:tcPr>
            <w:tcW w:type="dxa" w:w="1440"/>
          </w:tcPr>
          <w:p>
            <w:r>
              <w:rPr>
                <w:rFonts w:ascii="Calibri" w:hAnsi="Calibri"/>
                <w:b/>
                <w:color w:val="30A46C"/>
                <w:sz w:val="22"/>
              </w:rPr>
              <w:t>Strong Beat</w:t>
            </w:r>
          </w:p>
        </w:tc>
      </w:tr>
      <w:tr>
        <w:tc>
          <w:tcPr>
            <w:tcW w:type="dxa" w:w="1440"/>
          </w:tcPr>
          <w:p>
            <w:r>
              <w:rPr>
                <w:rFonts w:ascii="Calibri" w:hAnsi="Calibri"/>
                <w:sz w:val="22"/>
              </w:rPr>
              <w:t>Q4 2024</w:t>
            </w:r>
          </w:p>
        </w:tc>
        <w:tc>
          <w:tcPr>
            <w:tcW w:type="dxa" w:w="1440"/>
          </w:tcPr>
          <w:p>
            <w:r>
              <w:rPr>
                <w:rFonts w:ascii="Calibri" w:hAnsi="Calibri"/>
                <w:sz w:val="22"/>
              </w:rPr>
              <w:t>FRE</w:t>
            </w:r>
          </w:p>
        </w:tc>
        <w:tc>
          <w:tcPr>
            <w:tcW w:type="dxa" w:w="1440"/>
          </w:tcPr>
          <w:p>
            <w:r>
              <w:rPr>
                <w:rFonts w:ascii="Calibri" w:hAnsi="Calibri"/>
                <w:sz w:val="22"/>
              </w:rPr>
              <w:t>$1,836M</w:t>
            </w:r>
          </w:p>
        </w:tc>
        <w:tc>
          <w:tcPr>
            <w:tcW w:type="dxa" w:w="1440"/>
          </w:tcPr>
          <w:p>
            <w:r>
              <w:rPr>
                <w:rFonts w:ascii="Calibri" w:hAnsi="Calibri"/>
                <w:sz w:val="22"/>
              </w:rPr>
              <w:t>$1,653M</w:t>
            </w:r>
          </w:p>
        </w:tc>
        <w:tc>
          <w:tcPr>
            <w:tcW w:type="dxa" w:w="1440"/>
          </w:tcPr>
          <w:p>
            <w:r>
              <w:rPr>
                <w:rFonts w:ascii="Calibri" w:hAnsi="Calibri"/>
                <w:sz w:val="22"/>
              </w:rPr>
              <w:t>+11.1%</w:t>
            </w:r>
          </w:p>
        </w:tc>
        <w:tc>
          <w:tcPr>
            <w:tcW w:type="dxa" w:w="1440"/>
          </w:tcPr>
          <w:p>
            <w:r>
              <w:rPr>
                <w:rFonts w:ascii="Calibri" w:hAnsi="Calibri"/>
                <w:b/>
                <w:color w:val="30A46C"/>
                <w:sz w:val="22"/>
              </w:rPr>
              <w:t>Strong Beat</w:t>
            </w:r>
          </w:p>
        </w:tc>
      </w:tr>
      <w:tr>
        <w:tc>
          <w:tcPr>
            <w:tcW w:type="dxa" w:w="1440"/>
          </w:tcPr>
          <w:p>
            <w:r>
              <w:rPr>
                <w:rFonts w:ascii="Calibri" w:hAnsi="Calibri"/>
                <w:sz w:val="22"/>
              </w:rPr>
              <w:t>Q3 2024</w:t>
            </w:r>
          </w:p>
        </w:tc>
        <w:tc>
          <w:tcPr>
            <w:tcW w:type="dxa" w:w="1440"/>
          </w:tcPr>
          <w:p>
            <w:r>
              <w:rPr>
                <w:rFonts w:ascii="Calibri" w:hAnsi="Calibri"/>
                <w:sz w:val="22"/>
              </w:rPr>
              <w:t>DE EPS</w:t>
            </w:r>
          </w:p>
        </w:tc>
        <w:tc>
          <w:tcPr>
            <w:tcW w:type="dxa" w:w="1440"/>
          </w:tcPr>
          <w:p>
            <w:r>
              <w:rPr>
                <w:rFonts w:ascii="Calibri" w:hAnsi="Calibri"/>
                <w:sz w:val="22"/>
              </w:rPr>
              <w:t>$1.01</w:t>
            </w:r>
          </w:p>
        </w:tc>
        <w:tc>
          <w:tcPr>
            <w:tcW w:type="dxa" w:w="1440"/>
          </w:tcPr>
          <w:p>
            <w:r>
              <w:rPr>
                <w:rFonts w:ascii="Calibri" w:hAnsi="Calibri"/>
                <w:sz w:val="22"/>
              </w:rPr>
              <w:t>$0.92</w:t>
            </w:r>
          </w:p>
        </w:tc>
        <w:tc>
          <w:tcPr>
            <w:tcW w:type="dxa" w:w="1440"/>
          </w:tcPr>
          <w:p>
            <w:r>
              <w:rPr>
                <w:rFonts w:ascii="Calibri" w:hAnsi="Calibri"/>
                <w:sz w:val="22"/>
              </w:rPr>
              <w:t>+9.8%</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FRE</w:t>
            </w:r>
          </w:p>
        </w:tc>
        <w:tc>
          <w:tcPr>
            <w:tcW w:type="dxa" w:w="1440"/>
          </w:tcPr>
          <w:p>
            <w:r>
              <w:rPr>
                <w:rFonts w:ascii="Calibri" w:hAnsi="Calibri"/>
                <w:sz w:val="22"/>
              </w:rPr>
              <w:t>$1,175M</w:t>
            </w:r>
          </w:p>
        </w:tc>
        <w:tc>
          <w:tcPr>
            <w:tcW w:type="dxa" w:w="1440"/>
          </w:tcPr>
          <w:p>
            <w:r>
              <w:rPr>
                <w:rFonts w:ascii="Calibri" w:hAnsi="Calibri"/>
                <w:sz w:val="22"/>
              </w:rPr>
              <w:t>$1,152M</w:t>
            </w:r>
          </w:p>
        </w:tc>
        <w:tc>
          <w:tcPr>
            <w:tcW w:type="dxa" w:w="1440"/>
          </w:tcPr>
          <w:p>
            <w:r>
              <w:rPr>
                <w:rFonts w:ascii="Calibri" w:hAnsi="Calibri"/>
                <w:sz w:val="22"/>
              </w:rPr>
              <w:t>+2.0%</w:t>
            </w:r>
          </w:p>
        </w:tc>
        <w:tc>
          <w:tcPr>
            <w:tcW w:type="dxa" w:w="1440"/>
          </w:tcPr>
          <w:p>
            <w:r>
              <w:rPr>
                <w:rFonts w:ascii="Calibri" w:hAnsi="Calibri"/>
                <w:b/>
                <w:color w:val="30A46C"/>
                <w:sz w:val="22"/>
              </w:rPr>
              <w:t>Modest Beat</w:t>
            </w:r>
          </w:p>
        </w:tc>
      </w:tr>
    </w:tbl>
    <w:p>
      <w:r>
        <w:rPr>
          <w:rFonts w:ascii="Calibri" w:hAnsi="Calibri"/>
          <w:b/>
          <w:color w:val="525866"/>
          <w:sz w:val="22"/>
        </w:rPr>
        <w:t xml:space="preserve">Pattern: </w:t>
      </w:r>
      <w:r>
        <w:rPr>
          <w:rFonts w:ascii="Calibri" w:hAnsi="Calibri"/>
          <w:color w:val="525866"/>
          <w:sz w:val="22"/>
        </w:rPr>
        <w:t>BX has beaten DE EPS consensus in each of the last 8 quarters, with the magnitude of the beat driven primarily by realization activity (Q4 2024, Q3 2025, Q4 2025 all saw double-digit beats). FRE beats have been more modest and consistent, reflecting the predictable, recurring nature of management fee income. The current Q2 setup — with the June 23 realization pre-announcement — suggests the beat pattern is likely to continue.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numerical guidance was revised post-Q1 earnings, but two material intra-quarter updates have shifted the tone decisively more positive: (1) the June 23 realization pre-announcement (&gt;$500M through June 23) and (2) the June 9 Morgan Stanley conference disclosure that wealth channel flows recovered to Q1 levels by June 1. Management's posture has shifted from cautiously optimistic (April 23) to constructively bullish on H2.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 / Intra-Quarter Update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Realized Performance Revenues</w:t>
            </w:r>
          </w:p>
        </w:tc>
        <w:tc>
          <w:tcPr>
            <w:tcW w:type="dxa" w:w="1728"/>
          </w:tcPr>
          <w:p>
            <w:r>
              <w:rPr>
                <w:rFonts w:ascii="Calibri" w:hAnsi="Calibri"/>
                <w:sz w:val="22"/>
              </w:rPr>
              <w:t>Expect robust H2 activity if Middle East conflict resolves; near-term slowdown acknowledged</w:t>
            </w:r>
          </w:p>
        </w:tc>
        <w:tc>
          <w:tcPr>
            <w:tcW w:type="dxa" w:w="1728"/>
          </w:tcPr>
          <w:p>
            <w:r>
              <w:rPr>
                <w:rFonts w:ascii="Calibri" w:hAnsi="Calibri"/>
                <w:sz w:val="22"/>
              </w:rPr>
              <w:t>&gt;$500M in realized performance revenues + principal investment income for Apr 1–Jun 23, 2026 (almost entirely performance revenues)</w:t>
            </w:r>
          </w:p>
        </w:tc>
        <w:tc>
          <w:tcPr>
            <w:tcW w:type="dxa" w:w="1728"/>
          </w:tcPr>
          <w:p>
            <w:r>
              <w:rPr>
                <w:rFonts w:ascii="Calibri" w:hAnsi="Calibri"/>
                <w:sz w:val="22"/>
              </w:rPr>
              <w:t>$417M net realizations for Q2</w:t>
            </w:r>
          </w:p>
        </w:tc>
        <w:tc>
          <w:tcPr>
            <w:tcW w:type="dxa" w:w="1728"/>
          </w:tcPr>
          <w:p>
            <w:r>
              <w:rPr>
                <w:rFonts w:ascii="Calibri" w:hAnsi="Calibri"/>
                <w:sz w:val="22"/>
              </w:rPr>
              <w:t>↑ Positive intra-quarter 8-K update (Jun 23, 2026); June 23 figure alone exceeds full-quarter consensus, implying upside to final Q2 number</w:t>
            </w:r>
          </w:p>
        </w:tc>
      </w:tr>
      <w:tr>
        <w:tc>
          <w:tcPr>
            <w:tcW w:type="dxa" w:w="1728"/>
          </w:tcPr>
          <w:p>
            <w:r>
              <w:rPr>
                <w:rFonts w:ascii="Calibri" w:hAnsi="Calibri"/>
                <w:sz w:val="22"/>
              </w:rPr>
              <w:t>Wealth Channel Flows</w:t>
            </w:r>
          </w:p>
        </w:tc>
        <w:tc>
          <w:tcPr>
            <w:tcW w:type="dxa" w:w="1728"/>
          </w:tcPr>
          <w:p>
            <w:r>
              <w:rPr>
                <w:rFonts w:ascii="Calibri" w:hAnsi="Calibri"/>
                <w:sz w:val="22"/>
              </w:rPr>
              <w:t>Near-term slowdown expected due to war and private credit noise; BCRED net outflows of $1.4B in Q1</w:t>
            </w:r>
          </w:p>
        </w:tc>
        <w:tc>
          <w:tcPr>
            <w:tcW w:type="dxa" w:w="1728"/>
          </w:tcPr>
          <w:p>
            <w:r>
              <w:rPr>
                <w:rFonts w:ascii="Calibri" w:hAnsi="Calibri"/>
                <w:sz w:val="22"/>
              </w:rPr>
              <w:t>By June 1, overall wealth flows recovered to Q1 levels (+50% from April/May trough); PE product saw best inflows since launch</w:t>
            </w:r>
          </w:p>
        </w:tc>
        <w:tc>
          <w:tcPr>
            <w:tcW w:type="dxa" w:w="1728"/>
          </w:tcPr>
          <w:p>
            <w:r>
              <w:rPr>
                <w:rFonts w:ascii="Calibri" w:hAnsi="Calibri"/>
                <w:sz w:val="22"/>
              </w:rPr>
              <w:t>$54.4B total inflows consensus</w:t>
            </w:r>
          </w:p>
        </w:tc>
        <w:tc>
          <w:tcPr>
            <w:tcW w:type="dxa" w:w="1728"/>
          </w:tcPr>
          <w:p>
            <w:r>
              <w:rPr>
                <w:rFonts w:ascii="Calibri" w:hAnsi="Calibri"/>
                <w:sz w:val="22"/>
              </w:rPr>
              <w:t>↑ Positive update at Morgan Stanley conference (Jun 9, 2026); recovery sharper than feared</w:t>
            </w:r>
          </w:p>
        </w:tc>
      </w:tr>
      <w:tr>
        <w:tc>
          <w:tcPr>
            <w:tcW w:type="dxa" w:w="1728"/>
          </w:tcPr>
          <w:p>
            <w:r>
              <w:rPr>
                <w:rFonts w:ascii="Calibri" w:hAnsi="Calibri"/>
                <w:sz w:val="22"/>
              </w:rPr>
              <w:t>Base Management Fees / FRE</w:t>
            </w:r>
          </w:p>
        </w:tc>
        <w:tc>
          <w:tcPr>
            <w:tcW w:type="dxa" w:w="1728"/>
          </w:tcPr>
          <w:p>
            <w:r>
              <w:rPr>
                <w:rFonts w:ascii="Calibri" w:hAnsi="Calibri"/>
                <w:sz w:val="22"/>
              </w:rPr>
              <w:t>Moderate sequential growth in Q2 and Q3; acceleration expected in H2 as drawdown funds clear fee holidays</w:t>
            </w:r>
          </w:p>
        </w:tc>
        <w:tc>
          <w:tcPr>
            <w:tcW w:type="dxa" w:w="1728"/>
          </w:tcPr>
          <w:p>
            <w:r>
              <w:rPr>
                <w:rFonts w:ascii="Calibri" w:hAnsi="Calibri"/>
                <w:sz w:val="22"/>
              </w:rPr>
              <w:t>No change; guidance unchanged</w:t>
            </w:r>
          </w:p>
        </w:tc>
        <w:tc>
          <w:tcPr>
            <w:tcW w:type="dxa" w:w="1728"/>
          </w:tcPr>
          <w:p>
            <w:r>
              <w:rPr>
                <w:rFonts w:ascii="Calibri" w:hAnsi="Calibri"/>
                <w:sz w:val="22"/>
              </w:rPr>
              <w:t>$1,585M FRE consensus</w:t>
            </w:r>
          </w:p>
        </w:tc>
        <w:tc>
          <w:tcPr>
            <w:tcW w:type="dxa" w:w="1728"/>
          </w:tcPr>
          <w:p>
            <w:r>
              <w:rPr>
                <w:rFonts w:ascii="Calibri" w:hAnsi="Calibri"/>
                <w:sz w:val="22"/>
              </w:rPr>
              <w:t>Unchanged; real estate headwinds expected to bottom mid-year; H2 acceleration on track</w:t>
            </w:r>
          </w:p>
        </w:tc>
      </w:tr>
      <w:tr>
        <w:tc>
          <w:tcPr>
            <w:tcW w:type="dxa" w:w="1728"/>
          </w:tcPr>
          <w:p>
            <w:r>
              <w:rPr>
                <w:rFonts w:ascii="Calibri" w:hAnsi="Calibri"/>
                <w:sz w:val="22"/>
              </w:rPr>
              <w:t>AI Infrastructure Deployment</w:t>
            </w:r>
          </w:p>
        </w:tc>
        <w:tc>
          <w:tcPr>
            <w:tcW w:type="dxa" w:w="1728"/>
          </w:tcPr>
          <w:p>
            <w:r>
              <w:rPr>
                <w:rFonts w:ascii="Calibri" w:hAnsi="Calibri"/>
                <w:sz w:val="22"/>
              </w:rPr>
              <w:t>Largest deployment priority; $160B data center portfolio (standing + under construction); pipeline of equal size</w:t>
            </w:r>
          </w:p>
        </w:tc>
        <w:tc>
          <w:tcPr>
            <w:tcW w:type="dxa" w:w="1728"/>
          </w:tcPr>
          <w:p>
            <w:r>
              <w:rPr>
                <w:rFonts w:ascii="Calibri" w:hAnsi="Calibri"/>
                <w:sz w:val="22"/>
              </w:rPr>
              <w:t>Announced Google TPU cloud JV (Nio Cloud, $5B commitment); co-investor in Broadcom/Apollo AI XPV Platform ($35B transaction); Anthropic enterprise AI services partnership</w:t>
            </w:r>
          </w:p>
        </w:tc>
        <w:tc>
          <w:tcPr>
            <w:tcW w:type="dxa" w:w="1728"/>
          </w:tcPr>
          <w:p>
            <w:r>
              <w:rPr>
                <w:rFonts w:ascii="Calibri" w:hAnsi="Calibri"/>
                <w:sz w:val="22"/>
              </w:rPr>
              <w:t>N/A (strategic, not a consensus KPI)</w:t>
            </w:r>
          </w:p>
        </w:tc>
        <w:tc>
          <w:tcPr>
            <w:tcW w:type="dxa" w:w="1728"/>
          </w:tcPr>
          <w:p>
            <w:r>
              <w:rPr>
                <w:rFonts w:ascii="Calibri" w:hAnsi="Calibri"/>
                <w:sz w:val="22"/>
              </w:rPr>
              <w:t>↑ Tone escalated to conviction-driven; multiple major AI transactions announced post-Q1</w:t>
            </w:r>
          </w:p>
        </w:tc>
      </w:tr>
      <w:tr>
        <w:tc>
          <w:tcPr>
            <w:tcW w:type="dxa" w:w="1728"/>
          </w:tcPr>
          <w:p>
            <w:r>
              <w:rPr>
                <w:rFonts w:ascii="Calibri" w:hAnsi="Calibri"/>
                <w:sz w:val="22"/>
              </w:rPr>
              <w:t>Insurance Channel AUM</w:t>
            </w:r>
          </w:p>
        </w:tc>
        <w:tc>
          <w:tcPr>
            <w:tcW w:type="dxa" w:w="1728"/>
          </w:tcPr>
          <w:p>
            <w:r>
              <w:rPr>
                <w:rFonts w:ascii="Calibri" w:hAnsi="Calibri"/>
                <w:sz w:val="22"/>
              </w:rPr>
              <w:t>AUM up 18% YoY to $280B; open-architecture model resonating; ~35 insurance clients globally</w:t>
            </w:r>
          </w:p>
        </w:tc>
        <w:tc>
          <w:tcPr>
            <w:tcW w:type="dxa" w:w="1728"/>
          </w:tcPr>
          <w:p>
            <w:r>
              <w:rPr>
                <w:rFonts w:ascii="Calibri" w:hAnsi="Calibri"/>
                <w:sz w:val="22"/>
              </w:rPr>
              <w:t>Nippon Life strategic partnership announced: ~$9.5B private credit commitment (1.5T yen over 5 years) + real estate collaboration</w:t>
            </w:r>
          </w:p>
        </w:tc>
        <w:tc>
          <w:tcPr>
            <w:tcW w:type="dxa" w:w="1728"/>
          </w:tcPr>
          <w:p>
            <w:r>
              <w:rPr>
                <w:rFonts w:ascii="Calibri" w:hAnsi="Calibri"/>
                <w:sz w:val="22"/>
              </w:rPr>
              <w:t>N/A (AUM metric, not a consensus KPI)</w:t>
            </w:r>
          </w:p>
        </w:tc>
        <w:tc>
          <w:tcPr>
            <w:tcW w:type="dxa" w:w="1728"/>
          </w:tcPr>
          <w:p>
            <w:r>
              <w:rPr>
                <w:rFonts w:ascii="Calibri" w:hAnsi="Calibri"/>
                <w:sz w:val="22"/>
              </w:rPr>
              <w:t>↑ Major new insurance partnership announced post-Q1; accelerating conviction on insurance channel growth</w:t>
            </w:r>
          </w:p>
        </w:tc>
      </w:tr>
      <w:tr>
        <w:tc>
          <w:tcPr>
            <w:tcW w:type="dxa" w:w="1728"/>
          </w:tcPr>
          <w:p>
            <w:r>
              <w:rPr>
                <w:rFonts w:ascii="Calibri" w:hAnsi="Calibri"/>
                <w:sz w:val="22"/>
              </w:rPr>
              <w:t>IPO / Exit Pipeline</w:t>
            </w:r>
          </w:p>
        </w:tc>
        <w:tc>
          <w:tcPr>
            <w:tcW w:type="dxa" w:w="1728"/>
          </w:tcPr>
          <w:p>
            <w:r>
              <w:rPr>
                <w:rFonts w:ascii="Calibri" w:hAnsi="Calibri"/>
                <w:sz w:val="22"/>
              </w:rPr>
              <w:t>Near-term slowdown; 3 IPOs completed in 2026 YTD; 7 more on file globally; H2 acceleration expected</w:t>
            </w:r>
          </w:p>
        </w:tc>
        <w:tc>
          <w:tcPr>
            <w:tcW w:type="dxa" w:w="1728"/>
          </w:tcPr>
          <w:p>
            <w:r>
              <w:rPr>
                <w:rFonts w:ascii="Calibri" w:hAnsi="Calibri"/>
                <w:sz w:val="22"/>
              </w:rPr>
              <w:t>Liftoff Mobile IPO completed (3rd IPO of 2026, early June); 7 additional IPOs remain on file globally</w:t>
            </w:r>
          </w:p>
        </w:tc>
        <w:tc>
          <w:tcPr>
            <w:tcW w:type="dxa" w:w="1728"/>
          </w:tcPr>
          <w:p>
            <w:r>
              <w:rPr>
                <w:rFonts w:ascii="Calibri" w:hAnsi="Calibri"/>
                <w:sz w:val="22"/>
              </w:rPr>
              <w:t>N/A</w:t>
            </w:r>
          </w:p>
        </w:tc>
        <w:tc>
          <w:tcPr>
            <w:tcW w:type="dxa" w:w="1728"/>
          </w:tcPr>
          <w:p>
            <w:r>
              <w:rPr>
                <w:rFonts w:ascii="Calibri" w:hAnsi="Calibri"/>
                <w:sz w:val="22"/>
              </w:rPr>
              <w:t>↑ IPO market “has really found its footing” per Gray (Jun 9); pipeline intact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DE EPS estimates for Q2 2026 have drifted down ~0.6% since Q1 earnings (from $1.368 to $1.358), while FRE estimates have moved up modestly (+2.2%), reflecting the market’s confidence in recurring fee income but residual caution on realization-driven earnings. Full-year FY2026 DE EPS consensus of $5.92 is down ~1.3% since Q1 earnings, suggesting the street has not yet fully priced in the positive realization signals from the June 23 8-K.</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(Period)</w:t>
            </w:r>
          </w:p>
        </w:tc>
        <w:tc>
          <w:tcPr>
            <w:tcW w:type="dxa" w:w="1234"/>
            <w:shd w:val="clear" w:color="auto" w:fill="3B4259"/>
          </w:tcPr>
          <w:p>
            <w:r>
              <w:rPr>
                <w:rFonts w:ascii="Calibri" w:hAnsi="Calibri"/>
                <w:b/>
                <w:color w:val="FFFFFF"/>
                <w:sz w:val="22"/>
              </w:rPr>
              <w:t>Estimate ~5 Days Post Q1 Earnings (Apr 30, 2026)</w:t>
            </w:r>
          </w:p>
        </w:tc>
        <w:tc>
          <w:tcPr>
            <w:tcW w:type="dxa" w:w="1234"/>
            <w:shd w:val="clear" w:color="auto" w:fill="3B4259"/>
          </w:tcPr>
          <w:p>
            <w:r>
              <w:rPr>
                <w:rFonts w:ascii="Calibri" w:hAnsi="Calibri"/>
                <w:b/>
                <w:color w:val="FFFFFF"/>
                <w:sz w:val="22"/>
              </w:rPr>
              <w:t>Current Consensus (Jul 22, 2026)</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(Q1 Earnings Call)</w:t>
            </w:r>
          </w:p>
        </w:tc>
        <w:tc>
          <w:tcPr>
            <w:tcW w:type="dxa" w:w="1234"/>
            <w:shd w:val="clear" w:color="auto" w:fill="3B4259"/>
          </w:tcPr>
          <w:p>
            <w:r>
              <w:rPr>
                <w:rFonts w:ascii="Calibri" w:hAnsi="Calibri"/>
                <w:b/>
                <w:color w:val="FFFFFF"/>
                <w:sz w:val="22"/>
              </w:rPr>
              <w:t>Current Guidance / Update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DE EPS — Q2 2026</w:t>
            </w:r>
          </w:p>
        </w:tc>
        <w:tc>
          <w:tcPr>
            <w:tcW w:type="dxa" w:w="1234"/>
          </w:tcPr>
          <w:p>
            <w:r>
              <w:rPr>
                <w:rFonts w:ascii="Calibri" w:hAnsi="Calibri"/>
                <w:sz w:val="22"/>
              </w:rPr>
              <w:t>$1.368</w:t>
            </w:r>
          </w:p>
        </w:tc>
        <w:tc>
          <w:tcPr>
            <w:tcW w:type="dxa" w:w="1234"/>
          </w:tcPr>
          <w:p>
            <w:r>
              <w:rPr>
                <w:rFonts w:ascii="Calibri" w:hAnsi="Calibri"/>
                <w:sz w:val="22"/>
              </w:rPr>
              <w:t>$1.358</w:t>
            </w:r>
          </w:p>
        </w:tc>
        <w:tc>
          <w:tcPr>
            <w:tcW w:type="dxa" w:w="1234"/>
          </w:tcPr>
          <w:p>
            <w:r>
              <w:rPr>
                <w:rFonts w:ascii="Calibri" w:hAnsi="Calibri"/>
                <w:b/>
                <w:color w:val="E5484D"/>
                <w:sz w:val="22"/>
              </w:rPr>
              <w:t>-0.7%</w:t>
            </w:r>
          </w:p>
        </w:tc>
        <w:tc>
          <w:tcPr>
            <w:tcW w:type="dxa" w:w="1234"/>
          </w:tcPr>
          <w:p>
            <w:r>
              <w:rPr>
                <w:rFonts w:ascii="Calibri" w:hAnsi="Calibri"/>
                <w:sz w:val="22"/>
              </w:rPr>
              <w:t>No formal guidance; H2 acceleration expected</w:t>
            </w:r>
          </w:p>
        </w:tc>
        <w:tc>
          <w:tcPr>
            <w:tcW w:type="dxa" w:w="1234"/>
          </w:tcPr>
          <w:p>
            <w:r>
              <w:rPr>
                <w:rFonts w:ascii="Calibri" w:hAnsi="Calibri"/>
                <w:sz w:val="22"/>
              </w:rPr>
              <w:t>&gt;$500M realized performance revenues through Jun 23 (8-K); implies upside to consensus</w:t>
            </w:r>
          </w:p>
        </w:tc>
        <w:tc>
          <w:tcPr>
            <w:tcW w:type="dxa" w:w="1234"/>
          </w:tcPr>
          <w:p>
            <w:r>
              <w:rPr>
                <w:rFonts w:ascii="Calibri" w:hAnsi="Calibri"/>
                <w:sz w:val="22"/>
              </w:rPr>
              <w:t>Consensus likely understates Q2 given Jun 23 pre-announcement</w:t>
            </w:r>
          </w:p>
        </w:tc>
      </w:tr>
      <w:tr>
        <w:tc>
          <w:tcPr>
            <w:tcW w:type="dxa" w:w="1234"/>
          </w:tcPr>
          <w:p>
            <w:r>
              <w:rPr>
                <w:rFonts w:ascii="Calibri" w:hAnsi="Calibri"/>
                <w:sz w:val="22"/>
              </w:rPr>
              <w:t>FRE — Q2 2026</w:t>
            </w:r>
          </w:p>
        </w:tc>
        <w:tc>
          <w:tcPr>
            <w:tcW w:type="dxa" w:w="1234"/>
          </w:tcPr>
          <w:p>
            <w:r>
              <w:rPr>
                <w:rFonts w:ascii="Calibri" w:hAnsi="Calibri"/>
                <w:sz w:val="22"/>
              </w:rPr>
              <w:t>$1,532M</w:t>
            </w:r>
          </w:p>
        </w:tc>
        <w:tc>
          <w:tcPr>
            <w:tcW w:type="dxa" w:w="1234"/>
          </w:tcPr>
          <w:p>
            <w:r>
              <w:rPr>
                <w:rFonts w:ascii="Calibri" w:hAnsi="Calibri"/>
                <w:sz w:val="22"/>
              </w:rPr>
              <w:t>$1,585M</w:t>
            </w:r>
          </w:p>
        </w:tc>
        <w:tc>
          <w:tcPr>
            <w:tcW w:type="dxa" w:w="1234"/>
          </w:tcPr>
          <w:p>
            <w:r>
              <w:rPr>
                <w:rFonts w:ascii="Calibri" w:hAnsi="Calibri"/>
                <w:b/>
                <w:color w:val="30A46C"/>
                <w:sz w:val="22"/>
              </w:rPr>
              <w:t>+3.5%</w:t>
            </w:r>
          </w:p>
        </w:tc>
        <w:tc>
          <w:tcPr>
            <w:tcW w:type="dxa" w:w="1234"/>
          </w:tcPr>
          <w:p>
            <w:r>
              <w:rPr>
                <w:rFonts w:ascii="Calibri" w:hAnsi="Calibri"/>
                <w:sz w:val="22"/>
              </w:rPr>
              <w:t>Moderate sequential growth; acceleration in H2</w:t>
            </w:r>
          </w:p>
        </w:tc>
        <w:tc>
          <w:tcPr>
            <w:tcW w:type="dxa" w:w="1234"/>
          </w:tcPr>
          <w:p>
            <w:r>
              <w:rPr>
                <w:rFonts w:ascii="Calibri" w:hAnsi="Calibri"/>
                <w:sz w:val="22"/>
              </w:rPr>
              <w:t>Unchanged; real estate headwinds bottoming mid-year</w:t>
            </w:r>
          </w:p>
        </w:tc>
        <w:tc>
          <w:tcPr>
            <w:tcW w:type="dxa" w:w="1234"/>
          </w:tcPr>
          <w:p>
            <w:r>
              <w:rPr>
                <w:rFonts w:ascii="Calibri" w:hAnsi="Calibri"/>
                <w:sz w:val="22"/>
              </w:rPr>
              <w:t>Consensus tracking guidance; modest upside possible</w:t>
            </w:r>
          </w:p>
        </w:tc>
      </w:tr>
      <w:tr>
        <w:tc>
          <w:tcPr>
            <w:tcW w:type="dxa" w:w="1234"/>
          </w:tcPr>
          <w:p>
            <w:r>
              <w:rPr>
                <w:rFonts w:ascii="Calibri" w:hAnsi="Calibri"/>
                <w:sz w:val="22"/>
              </w:rPr>
              <w:t>Inflows — Q2 2026</w:t>
            </w:r>
          </w:p>
        </w:tc>
        <w:tc>
          <w:tcPr>
            <w:tcW w:type="dxa" w:w="1234"/>
          </w:tcPr>
          <w:p>
            <w:r>
              <w:rPr>
                <w:rFonts w:ascii="Calibri" w:hAnsi="Calibri"/>
                <w:sz w:val="22"/>
              </w:rPr>
              <w:t>$55.7B</w:t>
            </w:r>
          </w:p>
        </w:tc>
        <w:tc>
          <w:tcPr>
            <w:tcW w:type="dxa" w:w="1234"/>
          </w:tcPr>
          <w:p>
            <w:r>
              <w:rPr>
                <w:rFonts w:ascii="Calibri" w:hAnsi="Calibri"/>
                <w:sz w:val="22"/>
              </w:rPr>
              <w:t>$54.4B</w:t>
            </w:r>
          </w:p>
        </w:tc>
        <w:tc>
          <w:tcPr>
            <w:tcW w:type="dxa" w:w="1234"/>
          </w:tcPr>
          <w:p>
            <w:r>
              <w:rPr>
                <w:rFonts w:ascii="Calibri" w:hAnsi="Calibri"/>
                <w:b/>
                <w:color w:val="E5484D"/>
                <w:sz w:val="22"/>
              </w:rPr>
              <w:t>-2.3%</w:t>
            </w:r>
          </w:p>
        </w:tc>
        <w:tc>
          <w:tcPr>
            <w:tcW w:type="dxa" w:w="1234"/>
          </w:tcPr>
          <w:p>
            <w:r>
              <w:rPr>
                <w:rFonts w:ascii="Calibri" w:hAnsi="Calibri"/>
                <w:sz w:val="22"/>
              </w:rPr>
              <w:t>Near-term slowdown in wealth channel; institutional robust</w:t>
            </w:r>
          </w:p>
        </w:tc>
        <w:tc>
          <w:tcPr>
            <w:tcW w:type="dxa" w:w="1234"/>
          </w:tcPr>
          <w:p>
            <w:r>
              <w:rPr>
                <w:rFonts w:ascii="Calibri" w:hAnsi="Calibri"/>
                <w:sz w:val="22"/>
              </w:rPr>
              <w:t>Wealth flows recovered to Q1 levels by Jun 1 (Gray, Jun 9)</w:t>
            </w:r>
          </w:p>
        </w:tc>
        <w:tc>
          <w:tcPr>
            <w:tcW w:type="dxa" w:w="1234"/>
          </w:tcPr>
          <w:p>
            <w:r>
              <w:rPr>
                <w:rFonts w:ascii="Calibri" w:hAnsi="Calibri"/>
                <w:sz w:val="22"/>
              </w:rPr>
              <w:t>Consensus may be conservative given Jun 1 recovery signal</w:t>
            </w:r>
          </w:p>
        </w:tc>
      </w:tr>
      <w:tr>
        <w:tc>
          <w:tcPr>
            <w:tcW w:type="dxa" w:w="1234"/>
          </w:tcPr>
          <w:p>
            <w:r>
              <w:rPr>
                <w:rFonts w:ascii="Calibri" w:hAnsi="Calibri"/>
                <w:sz w:val="22"/>
              </w:rPr>
              <w:t>DE EPS — FY2026</w:t>
            </w:r>
          </w:p>
        </w:tc>
        <w:tc>
          <w:tcPr>
            <w:tcW w:type="dxa" w:w="1234"/>
          </w:tcPr>
          <w:p>
            <w:r>
              <w:rPr>
                <w:rFonts w:ascii="Calibri" w:hAnsi="Calibri"/>
                <w:sz w:val="22"/>
              </w:rPr>
              <w:t>$6.000</w:t>
            </w:r>
          </w:p>
        </w:tc>
        <w:tc>
          <w:tcPr>
            <w:tcW w:type="dxa" w:w="1234"/>
          </w:tcPr>
          <w:p>
            <w:r>
              <w:rPr>
                <w:rFonts w:ascii="Calibri" w:hAnsi="Calibri"/>
                <w:sz w:val="22"/>
              </w:rPr>
              <w:t>$5.925</w:t>
            </w:r>
          </w:p>
        </w:tc>
        <w:tc>
          <w:tcPr>
            <w:tcW w:type="dxa" w:w="1234"/>
          </w:tcPr>
          <w:p>
            <w:r>
              <w:rPr>
                <w:rFonts w:ascii="Calibri" w:hAnsi="Calibri"/>
                <w:b/>
                <w:color w:val="E5484D"/>
                <w:sz w:val="22"/>
              </w:rPr>
              <w:t>-1.3%</w:t>
            </w:r>
          </w:p>
        </w:tc>
        <w:tc>
          <w:tcPr>
            <w:tcW w:type="dxa" w:w="1234"/>
          </w:tcPr>
          <w:p>
            <w:r>
              <w:rPr>
                <w:rFonts w:ascii="Calibri" w:hAnsi="Calibri"/>
                <w:sz w:val="22"/>
              </w:rPr>
              <w:t>Strong H2 realization acceleration expected; AI infrastructure driving performance</w:t>
            </w:r>
          </w:p>
        </w:tc>
        <w:tc>
          <w:tcPr>
            <w:tcW w:type="dxa" w:w="1234"/>
          </w:tcPr>
          <w:p>
            <w:r>
              <w:rPr>
                <w:rFonts w:ascii="Calibri" w:hAnsi="Calibri"/>
                <w:sz w:val="22"/>
              </w:rPr>
              <w:t>Multiple major AI transactions announced; IPO pipeline intact with 7 IPOs on file</w:t>
            </w:r>
          </w:p>
        </w:tc>
        <w:tc>
          <w:tcPr>
            <w:tcW w:type="dxa" w:w="1234"/>
          </w:tcPr>
          <w:p>
            <w:r>
              <w:rPr>
                <w:rFonts w:ascii="Calibri" w:hAnsi="Calibri"/>
                <w:sz w:val="22"/>
              </w:rPr>
              <w:t>FY consensus has room to move up if H2 realization acceleration materializes</w:t>
            </w:r>
          </w:p>
        </w:tc>
      </w:tr>
      <w:tr>
        <w:tc>
          <w:tcPr>
            <w:tcW w:type="dxa" w:w="1234"/>
          </w:tcPr>
          <w:p>
            <w:r>
              <w:rPr>
                <w:rFonts w:ascii="Calibri" w:hAnsi="Calibri"/>
                <w:sz w:val="22"/>
              </w:rPr>
              <w:t>FRE — FY2026</w:t>
            </w:r>
          </w:p>
        </w:tc>
        <w:tc>
          <w:tcPr>
            <w:tcW w:type="dxa" w:w="1234"/>
          </w:tcPr>
          <w:p>
            <w:r>
              <w:rPr>
                <w:rFonts w:ascii="Calibri" w:hAnsi="Calibri"/>
                <w:sz w:val="22"/>
              </w:rPr>
              <w:t>$6,333M</w:t>
            </w:r>
          </w:p>
        </w:tc>
        <w:tc>
          <w:tcPr>
            <w:tcW w:type="dxa" w:w="1234"/>
          </w:tcPr>
          <w:p>
            <w:r>
              <w:rPr>
                <w:rFonts w:ascii="Calibri" w:hAnsi="Calibri"/>
                <w:sz w:val="22"/>
              </w:rPr>
              <w:t>$6,385M</w:t>
            </w:r>
          </w:p>
        </w:tc>
        <w:tc>
          <w:tcPr>
            <w:tcW w:type="dxa" w:w="1234"/>
          </w:tcPr>
          <w:p>
            <w:r>
              <w:rPr>
                <w:rFonts w:ascii="Calibri" w:hAnsi="Calibri"/>
                <w:b/>
                <w:color w:val="30A46C"/>
                <w:sz w:val="22"/>
              </w:rPr>
              <w:t>+0.8%</w:t>
            </w:r>
          </w:p>
        </w:tc>
        <w:tc>
          <w:tcPr>
            <w:tcW w:type="dxa" w:w="1234"/>
          </w:tcPr>
          <w:p>
            <w:r>
              <w:rPr>
                <w:rFonts w:ascii="Calibri" w:hAnsi="Calibri"/>
                <w:sz w:val="22"/>
              </w:rPr>
              <w:t>Strong positive trajectory; double-digit base fee growth continuing</w:t>
            </w:r>
          </w:p>
        </w:tc>
        <w:tc>
          <w:tcPr>
            <w:tcW w:type="dxa" w:w="1234"/>
          </w:tcPr>
          <w:p>
            <w:r>
              <w:rPr>
                <w:rFonts w:ascii="Calibri" w:hAnsi="Calibri"/>
                <w:sz w:val="22"/>
              </w:rPr>
              <w:t>Unchanged; Nippon Life partnership adds to insurance AUM growth</w:t>
            </w:r>
          </w:p>
        </w:tc>
        <w:tc>
          <w:tcPr>
            <w:tcW w:type="dxa" w:w="1234"/>
          </w:tcPr>
          <w:p>
            <w:r>
              <w:rPr>
                <w:rFonts w:ascii="Calibri" w:hAnsi="Calibri"/>
                <w:sz w:val="22"/>
              </w:rPr>
              <w:t>Consensus tracking guidance; upside from new fund ramps</w:t>
            </w:r>
          </w:p>
        </w:tc>
      </w:tr>
    </w:tbl>
    <w:p>
      <w:r>
        <w:rPr>
          <w:rFonts w:ascii="Calibri" w:hAnsi="Calibri"/>
          <w:i/>
          <w:color w:val="525866"/>
          <w:sz w:val="22"/>
        </w:rPr>
        <w:t>Source: Visible Alpha Consensus and Actuals Data. As-of date for post-Q1 baseline: April 30, 2026.</w:t>
      </w:r>
    </w:p>
    <w:p>
      <w:r>
        <w:rPr>
          <w:rFonts w:ascii="Calibri" w:hAnsi="Calibri"/>
          <w:b/>
          <w:color w:val="525866"/>
          <w:sz w:val="22"/>
        </w:rPr>
        <w:t xml:space="preserve">Commentary: </w:t>
      </w:r>
      <w:r>
        <w:rPr>
          <w:rFonts w:ascii="Calibri" w:hAnsi="Calibri"/>
          <w:color w:val="525866"/>
          <w:sz w:val="22"/>
        </w:rPr>
        <w:t>The most important divergence is on DE EPS: the June 23 intra-quarter 8-K disclosed &gt;$500M in realized performance revenues through June 23 alone, which is already above the full-quarter consensus for net realizations (~$417M). This strongly suggests Q2 DE EPS will beat consensus, potentially by a meaningful margin depending on the final week of June activity. FRE estimates have actually moved up since Q1 earnings, reflecting confidence in the recurring fee base. The FY2026 DE EPS consensus of $5.92 has room to move higher if the H2 realization acceleration management has guided to materializes.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BX has significantly underperformed the broader market year-to-date since Q1 earnings (April 23, 2026), driven by multiple compression rather than earnings deterioration — the stock fell ~5% on Q1 earnings day despite a beat, as the lower-than-expected dividend disappointed investors. The stock trades at a meaningful discount to market multiples on consensus earnings, which management has explicitly flagged as a compelling value opportunity.</w:t>
      </w:r>
    </w:p>
    <w:p>
      <w:r>
        <w:rPr>
          <w:rFonts w:ascii="Calibri" w:hAnsi="Calibri"/>
          <w:color w:val="525866"/>
          <w:sz w:val="22"/>
        </w:rPr>
        <w:t xml:space="preserve">Since the Q1 2026 earnings date (April 23, 2026), BX has traded in a range roughly between $113 and $125, reflecting persistent investor skepticism around private credit redemption concerns and geopolitical-driven realization delays. The stock declined sharply on Q1 earnings day (approximately -5%) despite a modest beat on both DE EPS and FRE, as the quarterly dividend of $1.16/share came in meaningfully below the prior quarter’s level, disappointing income-oriented investors. The sector ETF used for comparison is </w:t>
      </w:r>
      <w:r>
        <w:rPr>
          <w:rFonts w:ascii="Calibri" w:hAnsi="Calibri"/>
          <w:b/>
          <w:color w:val="525866"/>
          <w:sz w:val="22"/>
        </w:rPr>
        <w:t>IAI (iShares U.S. Broker-Dealers &amp; Securities Exchanges ETF)</w:t>
      </w:r>
      <w:r>
        <w:rPr>
          <w:rFonts w:ascii="Calibri" w:hAnsi="Calibri"/>
          <w:color w:val="525866"/>
          <w:sz w:val="22"/>
        </w:rPr>
        <w:t>, which captures the alternative asset manager and capital markets sub-sector. Key events since Q1 earnings that have influenced the stock include: (1) the June 3 Partners Group fund cap news that triggered a sector-wide selloff in alternative managers; (2) the June 9 Morgan Stanley conference where Gray disclosed the wealth channel recovery; (3) the June 23 positive realization pre-announcement; and (4) the series of major AI infrastructure transactions (Nio Cloud/Google, Broadcom/Apollo XPV Platform, Anthropic partnership) that reinforce BX’s positioning as the largest AI infrastructure investor globally.</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23 intra-quarter realization pre-announcement (&gt;$500M through June 23), which de-risks the Q2 print on the most volatile line item. The series of major AI infrastructure transactions announced post-Q1 reinforces the long-term earnings power thesis.</w:t>
      </w:r>
    </w:p>
    <w:p>
      <w:pPr>
        <w:pStyle w:val="ListBullet"/>
        <w:ind w:left="360" w:hanging="360"/>
      </w:pPr>
      <w:r>
        <w:rPr>
          <w:rFonts w:ascii="Calibri" w:hAnsi="Calibri"/>
          <w:b/>
          <w:color w:val="525866"/>
          <w:sz w:val="22"/>
        </w:rPr>
        <w:t>June 23, 2026 — BX Intra-Quarter Realization 8-K:</w:t>
      </w:r>
      <w:r>
        <w:rPr>
          <w:rFonts w:ascii="Calibri" w:hAnsi="Calibri"/>
          <w:color w:val="525866"/>
          <w:sz w:val="22"/>
        </w:rPr>
        <w:t xml:space="preserve"> Blackstone disclosed that total Realized Performance Revenues and Realized Principal Investment Income for April 1–June 23, 2026 are expected to exceed $500M, almost entirely comprised of Realized Performance Revenues. This is a material positive signal as it already exceeds the full-quarter consensus for net realizations (~$417M). The final week of June (June 24–30) is not included and could add further upside. </w:t>
      </w:r>
      <w:r>
        <w:rPr>
          <w:rFonts w:ascii="Calibri" w:hAnsi="Calibri"/>
          <w:i/>
          <w:color w:val="525866"/>
          <w:sz w:val="22"/>
        </w:rPr>
        <w:t>Implication: Q2 DE EPS beat is likely; magnitude depends on final-week activity.</w:t>
      </w:r>
    </w:p>
    <w:p>
      <w:pPr>
        <w:pStyle w:val="ListBullet"/>
        <w:ind w:left="360" w:hanging="360"/>
      </w:pPr>
      <w:r>
        <w:rPr>
          <w:rFonts w:ascii="Calibri" w:hAnsi="Calibri"/>
          <w:b/>
          <w:color w:val="525866"/>
          <w:sz w:val="22"/>
        </w:rPr>
        <w:t>June 9, 2026 — Morgan Stanley U.S. Financials Conference (Jonathan Gray):</w:t>
      </w:r>
      <w:r>
        <w:rPr>
          <w:rFonts w:ascii="Calibri" w:hAnsi="Calibri"/>
          <w:color w:val="525866"/>
          <w:sz w:val="22"/>
        </w:rPr>
        <w:t xml:space="preserve"> Gray disclosed that wealth channel flows, which slowed in April and May due to the Iran war and private credit noise, recovered sharply by June 1 to Q1 levels — up 50% from the April/May trough. Private equity product inflows on June 1 were the best since product launch. </w:t>
      </w:r>
      <w:r>
        <w:rPr>
          <w:rFonts w:ascii="Calibri" w:hAnsi="Calibri"/>
          <w:i/>
          <w:color w:val="525866"/>
          <w:sz w:val="22"/>
        </w:rPr>
        <w:t>Implication: Q2 inflows likely to be better than feared; BCRED net outflow concern may be moderating.</w:t>
      </w:r>
    </w:p>
    <w:p>
      <w:pPr>
        <w:pStyle w:val="ListBullet"/>
        <w:ind w:left="360" w:hanging="360"/>
      </w:pPr>
      <w:r>
        <w:rPr>
          <w:rFonts w:ascii="Calibri" w:hAnsi="Calibri"/>
          <w:b/>
          <w:color w:val="525866"/>
          <w:sz w:val="22"/>
        </w:rPr>
        <w:t>June 9, 2026 — Broadcom/Apollo AI XPV Platform ($35B transaction):</w:t>
      </w:r>
      <w:r>
        <w:rPr>
          <w:rFonts w:ascii="Calibri" w:hAnsi="Calibri"/>
          <w:color w:val="525866"/>
          <w:sz w:val="22"/>
        </w:rPr>
        <w:t xml:space="preserve"> Blackstone announced participation as co-investor (alongside Apollo as lead) in the Broadcom AI XPV Platform, targeting over 20 gigawatts of compute capacity through 2028, with Anthropic’s compute expansion as the first deployment. This is investment-grade private credit deployment. </w:t>
      </w:r>
      <w:r>
        <w:rPr>
          <w:rFonts w:ascii="Calibri" w:hAnsi="Calibri"/>
          <w:i/>
          <w:color w:val="525866"/>
          <w:sz w:val="22"/>
        </w:rPr>
        <w:t>Implication: Reinforces BX’s position as the largest AI infrastructure investor; drives future fee-earning AUM.</w:t>
      </w:r>
    </w:p>
    <w:p>
      <w:pPr>
        <w:pStyle w:val="ListBullet"/>
        <w:ind w:left="360" w:hanging="360"/>
      </w:pPr>
      <w:r>
        <w:rPr>
          <w:rFonts w:ascii="Calibri" w:hAnsi="Calibri"/>
          <w:b/>
          <w:color w:val="525866"/>
          <w:sz w:val="22"/>
        </w:rPr>
        <w:t>June 9, 2026 — Google TPU Cloud JV (Nio Cloud):</w:t>
      </w:r>
      <w:r>
        <w:rPr>
          <w:rFonts w:ascii="Calibri" w:hAnsi="Calibri"/>
          <w:color w:val="525866"/>
          <w:sz w:val="22"/>
        </w:rPr>
        <w:t xml:space="preserve"> Blackstone announced a multi-billion dollar equity commitment across various BX funds to accelerate Google’s neocloud deployment using TPU chips, targeting first capacity online in 2027. </w:t>
      </w:r>
      <w:r>
        <w:rPr>
          <w:rFonts w:ascii="Calibri" w:hAnsi="Calibri"/>
          <w:i/>
          <w:color w:val="525866"/>
          <w:sz w:val="22"/>
        </w:rPr>
        <w:t>Implication: Expands data center portfolio beyond GPU infrastructure; diversifies AI infrastructure exposure.</w:t>
      </w:r>
    </w:p>
    <w:p>
      <w:pPr>
        <w:pStyle w:val="ListBullet"/>
        <w:ind w:left="360" w:hanging="360"/>
      </w:pPr>
      <w:r>
        <w:rPr>
          <w:rFonts w:ascii="Calibri" w:hAnsi="Calibri"/>
          <w:b/>
          <w:color w:val="525866"/>
          <w:sz w:val="22"/>
        </w:rPr>
        <w:t>June 9, 2026 — Anthropic Enterprise AI Services Partnership:</w:t>
      </w:r>
      <w:r>
        <w:rPr>
          <w:rFonts w:ascii="Calibri" w:hAnsi="Calibri"/>
          <w:color w:val="525866"/>
          <w:sz w:val="22"/>
        </w:rPr>
        <w:t xml:space="preserve"> Blackstone formed a partnership with Anthropic to create an enterprise AI services firm deploying Claude across BX portfolio companies. </w:t>
      </w:r>
      <w:r>
        <w:rPr>
          <w:rFonts w:ascii="Calibri" w:hAnsi="Calibri"/>
          <w:i/>
          <w:color w:val="525866"/>
          <w:sz w:val="22"/>
        </w:rPr>
        <w:t>Implication: Positions BX as an AI-enabled operator, not just an AI infrastructure investor.</w:t>
      </w:r>
    </w:p>
    <w:p>
      <w:pPr>
        <w:pStyle w:val="ListBullet"/>
        <w:ind w:left="360" w:hanging="360"/>
      </w:pPr>
      <w:r>
        <w:rPr>
          <w:rFonts w:ascii="Calibri" w:hAnsi="Calibri"/>
          <w:b/>
          <w:color w:val="525866"/>
          <w:sz w:val="22"/>
        </w:rPr>
        <w:t>Early June 2026 — Liftoff Mobile IPO (3rd IPO of 2026):</w:t>
      </w:r>
      <w:r>
        <w:rPr>
          <w:rFonts w:ascii="Calibri" w:hAnsi="Calibri"/>
          <w:color w:val="525866"/>
          <w:sz w:val="22"/>
        </w:rPr>
        <w:t xml:space="preserve"> Blackstone-backed mobile advertising company Liftoff completed its IPO, the firm’s third IPO of 2026. Seven additional IPOs remain on file globally (U.S., Europe, India). </w:t>
      </w:r>
      <w:r>
        <w:rPr>
          <w:rFonts w:ascii="Calibri" w:hAnsi="Calibri"/>
          <w:i/>
          <w:color w:val="525866"/>
          <w:sz w:val="22"/>
        </w:rPr>
        <w:t>Implication: IPO market “has really found its footing” per Gray; realization pipeline intact.</w:t>
      </w:r>
    </w:p>
    <w:p>
      <w:pPr>
        <w:pStyle w:val="ListBullet"/>
        <w:ind w:left="360" w:hanging="360"/>
      </w:pPr>
      <w:r>
        <w:rPr>
          <w:rFonts w:ascii="Calibri" w:hAnsi="Calibri"/>
          <w:b/>
          <w:color w:val="525866"/>
          <w:sz w:val="22"/>
        </w:rPr>
        <w:t>May 2026 — Nippon Life Strategic Partnership:</w:t>
      </w:r>
      <w:r>
        <w:rPr>
          <w:rFonts w:ascii="Calibri" w:hAnsi="Calibri"/>
          <w:color w:val="525866"/>
          <w:sz w:val="22"/>
        </w:rPr>
        <w:t xml:space="preserve"> Blackstone announced a $9.5B strategic partnership with Nippon Life (Japan’s largest insurer, ~$600B AUM), covering private credit (~1.5 trillion yen committed over 5 years) and real estate (collaboration on ~12 properties). </w:t>
      </w:r>
      <w:r>
        <w:rPr>
          <w:rFonts w:ascii="Calibri" w:hAnsi="Calibri"/>
          <w:i/>
          <w:color w:val="525866"/>
          <w:sz w:val="22"/>
        </w:rPr>
        <w:t>Implication: Accelerates insurance channel AUM growth; validates open-architecture model.</w:t>
      </w:r>
    </w:p>
    <w:p>
      <w:pPr>
        <w:pStyle w:val="ListBullet"/>
        <w:ind w:left="360" w:hanging="360"/>
      </w:pPr>
      <w:r>
        <w:rPr>
          <w:rFonts w:ascii="Calibri" w:hAnsi="Calibri"/>
          <w:b/>
          <w:color w:val="525866"/>
          <w:sz w:val="22"/>
        </w:rPr>
        <w:t>May 2026 — Blackstone Life Sciences / Apogee Therapeutics Financing:</w:t>
      </w:r>
      <w:r>
        <w:rPr>
          <w:rFonts w:ascii="Calibri" w:hAnsi="Calibri"/>
          <w:color w:val="525866"/>
          <w:sz w:val="22"/>
        </w:rPr>
        <w:t xml:space="preserve"> Blackstone Life Sciences announced a major financing collaboration with Apogee Therapeutics. </w:t>
      </w:r>
      <w:r>
        <w:rPr>
          <w:rFonts w:ascii="Calibri" w:hAnsi="Calibri"/>
          <w:i/>
          <w:color w:val="525866"/>
          <w:sz w:val="22"/>
        </w:rPr>
        <w:t>Implication: Demonstrates continued deployment in life sciences, a key thematic area.</w:t>
      </w:r>
    </w:p>
    <w:p>
      <w:pPr>
        <w:pStyle w:val="ListBullet"/>
        <w:ind w:left="360" w:hanging="360"/>
      </w:pPr>
      <w:r>
        <w:rPr>
          <w:rFonts w:ascii="Calibri" w:hAnsi="Calibri"/>
          <w:b/>
          <w:color w:val="525866"/>
          <w:sz w:val="22"/>
        </w:rPr>
        <w:t>June 3, 2026 — Partners Group Fund Cap / Sector Selloff:</w:t>
      </w:r>
      <w:r>
        <w:rPr>
          <w:rFonts w:ascii="Calibri" w:hAnsi="Calibri"/>
          <w:color w:val="525866"/>
          <w:sz w:val="22"/>
        </w:rPr>
        <w:t xml:space="preserve"> Partners Group capped withdrawals from one of its funds, triggering a sector-wide selloff in alternative managers including BX, KKR, and Blue Owl. </w:t>
      </w:r>
      <w:r>
        <w:rPr>
          <w:rFonts w:ascii="Calibri" w:hAnsi="Calibri"/>
          <w:i/>
          <w:color w:val="525866"/>
          <w:sz w:val="22"/>
        </w:rPr>
        <w:t>Implication: Created a buying opportunity in BX; the selloff was driven by sector contagion rather than BX-specific fundamentals.</w:t>
      </w:r>
    </w:p>
    <w:p>
      <w:pPr>
        <w:pStyle w:val="ListBullet"/>
        <w:ind w:left="360" w:hanging="360"/>
      </w:pPr>
      <w:r>
        <w:rPr>
          <w:rFonts w:ascii="Calibri" w:hAnsi="Calibri"/>
          <w:b/>
          <w:color w:val="525866"/>
          <w:sz w:val="22"/>
        </w:rPr>
        <w:t>July 15, 2026 — QTS Data Center Project Abandoned in Virginia:</w:t>
      </w:r>
      <w:r>
        <w:rPr>
          <w:rFonts w:ascii="Calibri" w:hAnsi="Calibri"/>
          <w:color w:val="525866"/>
          <w:sz w:val="22"/>
        </w:rPr>
        <w:t xml:space="preserve"> BX subsidiary QTS abandoned a large data center project in Virginia due to regulatory and legal opposition, underscoring mounting regulatory headwinds facing major data center developments. </w:t>
      </w:r>
      <w:r>
        <w:rPr>
          <w:rFonts w:ascii="Calibri" w:hAnsi="Calibri"/>
          <w:i/>
          <w:color w:val="525866"/>
          <w:sz w:val="22"/>
        </w:rPr>
        <w:t>Implication: A modest negative; highlights execution risk in the data center buildout, though BX’s overall $160B+ portfolio remains intact.</w:t>
      </w:r>
    </w:p>
    <w:p>
      <w:pPr>
        <w:pStyle w:val="ListBullet"/>
        <w:ind w:left="360" w:hanging="360"/>
      </w:pPr>
      <w:r>
        <w:rPr>
          <w:rFonts w:ascii="Calibri" w:hAnsi="Calibri"/>
          <w:b/>
          <w:color w:val="525866"/>
          <w:sz w:val="22"/>
        </w:rPr>
        <w:t>July 20, 2026 — Jersey Mike’s IPO Filing:</w:t>
      </w:r>
      <w:r>
        <w:rPr>
          <w:rFonts w:ascii="Calibri" w:hAnsi="Calibri"/>
          <w:color w:val="525866"/>
          <w:sz w:val="22"/>
        </w:rPr>
        <w:t xml:space="preserve"> Blackstone-backed Jersey Mike’s Subs filed to sell 43.5M shares at $21–$25/share, valuing the chain at ~$6.7–$7.9B. Blackstone acquired a majority stake in 2025 at ~$8B valuation. </w:t>
      </w:r>
      <w:r>
        <w:rPr>
          <w:rFonts w:ascii="Calibri" w:hAnsi="Calibri"/>
          <w:i/>
          <w:color w:val="525866"/>
          <w:sz w:val="22"/>
        </w:rPr>
        <w:t>Implication: Another potential realization event; adds to the IPO pipeline.</w:t>
      </w:r>
    </w:p>
    <w:p>
      <w:pPr>
        <w:pStyle w:val="ListBullet"/>
        <w:ind w:left="360" w:hanging="360"/>
      </w:pPr>
      <w:r>
        <w:rPr>
          <w:rFonts w:ascii="Calibri" w:hAnsi="Calibri"/>
          <w:b/>
          <w:color w:val="525866"/>
          <w:sz w:val="22"/>
        </w:rPr>
        <w:t>July 13, 2026 — Williams Power Projects Partnership:</w:t>
      </w:r>
      <w:r>
        <w:rPr>
          <w:rFonts w:ascii="Calibri" w:hAnsi="Calibri"/>
          <w:color w:val="525866"/>
          <w:sz w:val="22"/>
        </w:rPr>
        <w:t xml:space="preserve"> Blackstone (alongside Apollo and KKR) announced a $5B+ investment in five Williams power projects in exchange for a 49% noncontrolling equity interest. </w:t>
      </w:r>
      <w:r>
        <w:rPr>
          <w:rFonts w:ascii="Calibri" w:hAnsi="Calibri"/>
          <w:i/>
          <w:color w:val="525866"/>
          <w:sz w:val="22"/>
        </w:rPr>
        <w:t>Implication: Reinforces energy infrastructure deployment thesis; adds to fee-earning AUM.</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most notable signal is Stephen Schwarzman’s open-market purchase of ~765K shares on June 23, 2026 — the same day as the positive realization pre-announcement 8-K — which is a strong insider confidence signal. His earlier May purchase of ~9.5M shares (indirect) also reflects conviction at current price levels. The large June 16 sale of 7.5M shares (indirect) appears to be a pre-planned disposition given the simultaneous purchase activity.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Stephen A. Schwarzman</w:t>
            </w:r>
          </w:p>
        </w:tc>
        <w:tc>
          <w:tcPr>
            <w:tcW w:type="dxa" w:w="1440"/>
          </w:tcPr>
          <w:p>
            <w:r>
              <w:rPr>
                <w:rFonts w:ascii="Calibri" w:hAnsi="Calibri"/>
                <w:sz w:val="22"/>
              </w:rPr>
              <w:t>Chairman &amp; CEO (10% Owner)</w:t>
            </w:r>
          </w:p>
        </w:tc>
        <w:tc>
          <w:tcPr>
            <w:tcW w:type="dxa" w:w="1440"/>
          </w:tcPr>
          <w:p>
            <w:r>
              <w:rPr>
                <w:rFonts w:ascii="Calibri" w:hAnsi="Calibri"/>
                <w:b/>
                <w:color w:val="30A46C"/>
                <w:sz w:val="22"/>
              </w:rPr>
              <w:t>Open Market Buy</w:t>
            </w:r>
          </w:p>
        </w:tc>
        <w:tc>
          <w:tcPr>
            <w:tcW w:type="dxa" w:w="1440"/>
          </w:tcPr>
          <w:p>
            <w:r>
              <w:rPr>
                <w:rFonts w:ascii="Calibri" w:hAnsi="Calibri"/>
                <w:sz w:val="22"/>
              </w:rPr>
              <w:t>~765,111 shares (indirect)</w:t>
            </w:r>
          </w:p>
        </w:tc>
        <w:tc>
          <w:tcPr>
            <w:tcW w:type="dxa" w:w="1440"/>
          </w:tcPr>
          <w:p>
            <w:r>
              <w:rPr>
                <w:rFonts w:ascii="Calibri" w:hAnsi="Calibri"/>
                <w:sz w:val="22"/>
              </w:rPr>
              <w:t>June 23, 2026</w:t>
            </w:r>
          </w:p>
        </w:tc>
        <w:tc>
          <w:tcPr>
            <w:tcW w:type="dxa" w:w="1440"/>
          </w:tcPr>
          <w:p>
            <w:r>
              <w:rPr>
                <w:rFonts w:ascii="Calibri" w:hAnsi="Calibri"/>
                <w:sz w:val="22"/>
              </w:rPr>
              <w:t>Purchased same day as positive realization 8-K; strong insider confidence signal; indirect ownership via entity</w:t>
            </w:r>
          </w:p>
        </w:tc>
      </w:tr>
      <w:tr>
        <w:tc>
          <w:tcPr>
            <w:tcW w:type="dxa" w:w="1440"/>
          </w:tcPr>
          <w:p>
            <w:r>
              <w:rPr>
                <w:rFonts w:ascii="Calibri" w:hAnsi="Calibri"/>
                <w:sz w:val="22"/>
              </w:rPr>
              <w:t>Stephen A. Schwarzman</w:t>
            </w:r>
          </w:p>
        </w:tc>
        <w:tc>
          <w:tcPr>
            <w:tcW w:type="dxa" w:w="1440"/>
          </w:tcPr>
          <w:p>
            <w:r>
              <w:rPr>
                <w:rFonts w:ascii="Calibri" w:hAnsi="Calibri"/>
                <w:sz w:val="22"/>
              </w:rPr>
              <w:t>Chairman &amp; CEO (10% Owner)</w:t>
            </w:r>
          </w:p>
        </w:tc>
        <w:tc>
          <w:tcPr>
            <w:tcW w:type="dxa" w:w="1440"/>
          </w:tcPr>
          <w:p>
            <w:r>
              <w:rPr>
                <w:rFonts w:ascii="Calibri" w:hAnsi="Calibri"/>
                <w:sz w:val="22"/>
              </w:rPr>
              <w:t>Open Market Sale</w:t>
            </w:r>
          </w:p>
        </w:tc>
        <w:tc>
          <w:tcPr>
            <w:tcW w:type="dxa" w:w="1440"/>
          </w:tcPr>
          <w:p>
            <w:r>
              <w:rPr>
                <w:rFonts w:ascii="Calibri" w:hAnsi="Calibri"/>
                <w:sz w:val="22"/>
              </w:rPr>
              <w:t>~7,477,500 shares (indirect)</w:t>
            </w:r>
          </w:p>
        </w:tc>
        <w:tc>
          <w:tcPr>
            <w:tcW w:type="dxa" w:w="1440"/>
          </w:tcPr>
          <w:p>
            <w:r>
              <w:rPr>
                <w:rFonts w:ascii="Calibri" w:hAnsi="Calibri"/>
                <w:sz w:val="22"/>
              </w:rPr>
              <w:t>June 16, 2026</w:t>
            </w:r>
          </w:p>
        </w:tc>
        <w:tc>
          <w:tcPr>
            <w:tcW w:type="dxa" w:w="1440"/>
          </w:tcPr>
          <w:p>
            <w:r>
              <w:rPr>
                <w:rFonts w:ascii="Calibri" w:hAnsi="Calibri"/>
                <w:sz w:val="22"/>
              </w:rPr>
              <w:t>Large sale via indirect entity; likely pre-planned disposition; partially offset by June 23 purchase</w:t>
            </w:r>
          </w:p>
        </w:tc>
      </w:tr>
      <w:tr>
        <w:tc>
          <w:tcPr>
            <w:tcW w:type="dxa" w:w="1440"/>
          </w:tcPr>
          <w:p>
            <w:r>
              <w:rPr>
                <w:rFonts w:ascii="Calibri" w:hAnsi="Calibri"/>
                <w:sz w:val="22"/>
              </w:rPr>
              <w:t>Stephen A. Schwarzman</w:t>
            </w:r>
          </w:p>
        </w:tc>
        <w:tc>
          <w:tcPr>
            <w:tcW w:type="dxa" w:w="1440"/>
          </w:tcPr>
          <w:p>
            <w:r>
              <w:rPr>
                <w:rFonts w:ascii="Calibri" w:hAnsi="Calibri"/>
                <w:sz w:val="22"/>
              </w:rPr>
              <w:t>Chairman &amp; CEO (10% Owner)</w:t>
            </w:r>
          </w:p>
        </w:tc>
        <w:tc>
          <w:tcPr>
            <w:tcW w:type="dxa" w:w="1440"/>
          </w:tcPr>
          <w:p>
            <w:r>
              <w:rPr>
                <w:rFonts w:ascii="Calibri" w:hAnsi="Calibri"/>
                <w:b/>
                <w:color w:val="30A46C"/>
                <w:sz w:val="22"/>
              </w:rPr>
              <w:t>Open Market Buy</w:t>
            </w:r>
          </w:p>
        </w:tc>
        <w:tc>
          <w:tcPr>
            <w:tcW w:type="dxa" w:w="1440"/>
          </w:tcPr>
          <w:p>
            <w:r>
              <w:rPr>
                <w:rFonts w:ascii="Calibri" w:hAnsi="Calibri"/>
                <w:sz w:val="22"/>
              </w:rPr>
              <w:t>~9,486,795 shares (indirect)</w:t>
            </w:r>
          </w:p>
        </w:tc>
        <w:tc>
          <w:tcPr>
            <w:tcW w:type="dxa" w:w="1440"/>
          </w:tcPr>
          <w:p>
            <w:r>
              <w:rPr>
                <w:rFonts w:ascii="Calibri" w:hAnsi="Calibri"/>
                <w:sz w:val="22"/>
              </w:rPr>
              <w:t>May 15, 2026</w:t>
            </w:r>
          </w:p>
        </w:tc>
        <w:tc>
          <w:tcPr>
            <w:tcW w:type="dxa" w:w="1440"/>
          </w:tcPr>
          <w:p>
            <w:r>
              <w:rPr>
                <w:rFonts w:ascii="Calibri" w:hAnsi="Calibri"/>
                <w:sz w:val="22"/>
              </w:rPr>
              <w:t>Large indirect purchase; reflects conviction at ~$115–$120 price levels; filed May 19</w:t>
            </w:r>
          </w:p>
        </w:tc>
      </w:tr>
      <w:tr>
        <w:tc>
          <w:tcPr>
            <w:tcW w:type="dxa" w:w="1440"/>
          </w:tcPr>
          <w:p>
            <w:r>
              <w:rPr>
                <w:rFonts w:ascii="Calibri" w:hAnsi="Calibri"/>
                <w:sz w:val="22"/>
              </w:rPr>
              <w:t>Ruth Porat</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~355 shares (direct) + ~84 shares (indirect)</w:t>
            </w:r>
          </w:p>
        </w:tc>
        <w:tc>
          <w:tcPr>
            <w:tcW w:type="dxa" w:w="1440"/>
          </w:tcPr>
          <w:p>
            <w:r>
              <w:rPr>
                <w:rFonts w:ascii="Calibri" w:hAnsi="Calibri"/>
                <w:sz w:val="22"/>
              </w:rPr>
              <w:t>May 11, 2026</w:t>
            </w:r>
          </w:p>
        </w:tc>
        <w:tc>
          <w:tcPr>
            <w:tcW w:type="dxa" w:w="1440"/>
          </w:tcPr>
          <w:p>
            <w:r>
              <w:rPr>
                <w:rFonts w:ascii="Calibri" w:hAnsi="Calibri"/>
                <w:sz w:val="22"/>
              </w:rPr>
              <w:t>Small director purchase; routine in size but directionally positive; filed May 13</w:t>
            </w:r>
          </w:p>
        </w:tc>
      </w:tr>
      <w:tr>
        <w:tc>
          <w:tcPr>
            <w:tcW w:type="dxa" w:w="1440"/>
          </w:tcPr>
          <w:p>
            <w:r>
              <w:rPr>
                <w:rFonts w:ascii="Calibri" w:hAnsi="Calibri"/>
                <w:sz w:val="22"/>
              </w:rPr>
              <w:t>Vikrant Sawhney</w:t>
            </w:r>
          </w:p>
        </w:tc>
        <w:tc>
          <w:tcPr>
            <w:tcW w:type="dxa" w:w="1440"/>
          </w:tcPr>
          <w:p>
            <w:r>
              <w:rPr>
                <w:rFonts w:ascii="Calibri" w:hAnsi="Calibri"/>
                <w:sz w:val="22"/>
              </w:rPr>
              <w:t>Chief Administrative Officer</w:t>
            </w:r>
          </w:p>
        </w:tc>
        <w:tc>
          <w:tcPr>
            <w:tcW w:type="dxa" w:w="1440"/>
          </w:tcPr>
          <w:p>
            <w:r>
              <w:rPr>
                <w:rFonts w:ascii="Calibri" w:hAnsi="Calibri"/>
                <w:sz w:val="22"/>
              </w:rPr>
              <w:t>Open Market Sale</w:t>
            </w:r>
          </w:p>
        </w:tc>
        <w:tc>
          <w:tcPr>
            <w:tcW w:type="dxa" w:w="1440"/>
          </w:tcPr>
          <w:p>
            <w:r>
              <w:rPr>
                <w:rFonts w:ascii="Calibri" w:hAnsi="Calibri"/>
                <w:sz w:val="22"/>
              </w:rPr>
              <w:t>~30,014 shares (direct)</w:t>
            </w:r>
          </w:p>
        </w:tc>
        <w:tc>
          <w:tcPr>
            <w:tcW w:type="dxa" w:w="1440"/>
          </w:tcPr>
          <w:p>
            <w:r>
              <w:rPr>
                <w:rFonts w:ascii="Calibri" w:hAnsi="Calibri"/>
                <w:sz w:val="22"/>
              </w:rPr>
              <w:t>May 1, 2026</w:t>
            </w:r>
          </w:p>
        </w:tc>
        <w:tc>
          <w:tcPr>
            <w:tcW w:type="dxa" w:w="1440"/>
          </w:tcPr>
          <w:p>
            <w:r>
              <w:rPr>
                <w:rFonts w:ascii="Calibri" w:hAnsi="Calibri"/>
                <w:sz w:val="22"/>
              </w:rPr>
              <w:t>Discretionary sale; sold ~3.2% of direct holdings; no 10b5-1 plan indicated; filed May 1</w:t>
            </w:r>
          </w:p>
        </w:tc>
      </w:tr>
      <w:tr>
        <w:tc>
          <w:tcPr>
            <w:tcW w:type="dxa" w:w="1440"/>
          </w:tcPr>
          <w:p>
            <w:r>
              <w:rPr>
                <w:rFonts w:ascii="Calibri" w:hAnsi="Calibri"/>
                <w:sz w:val="22"/>
              </w:rPr>
              <w:t>Stephen A. Schwarzman</w:t>
            </w:r>
          </w:p>
        </w:tc>
        <w:tc>
          <w:tcPr>
            <w:tcW w:type="dxa" w:w="1440"/>
          </w:tcPr>
          <w:p>
            <w:r>
              <w:rPr>
                <w:rFonts w:ascii="Calibri" w:hAnsi="Calibri"/>
                <w:sz w:val="22"/>
              </w:rPr>
              <w:t>Chairman &amp; CEO (10% Owner)</w:t>
            </w:r>
          </w:p>
        </w:tc>
        <w:tc>
          <w:tcPr>
            <w:tcW w:type="dxa" w:w="1440"/>
          </w:tcPr>
          <w:p>
            <w:r>
              <w:rPr>
                <w:rFonts w:ascii="Calibri" w:hAnsi="Calibri"/>
                <w:sz w:val="22"/>
              </w:rPr>
              <w:t>Open Market Sale</w:t>
            </w:r>
          </w:p>
        </w:tc>
        <w:tc>
          <w:tcPr>
            <w:tcW w:type="dxa" w:w="1440"/>
          </w:tcPr>
          <w:p>
            <w:r>
              <w:rPr>
                <w:rFonts w:ascii="Calibri" w:hAnsi="Calibri"/>
                <w:sz w:val="22"/>
              </w:rPr>
              <w:t>~25,000 shares (indirect)</w:t>
            </w:r>
          </w:p>
        </w:tc>
        <w:tc>
          <w:tcPr>
            <w:tcW w:type="dxa" w:w="1440"/>
          </w:tcPr>
          <w:p>
            <w:r>
              <w:rPr>
                <w:rFonts w:ascii="Calibri" w:hAnsi="Calibri"/>
                <w:sz w:val="22"/>
              </w:rPr>
              <w:t>March 3, 2026</w:t>
            </w:r>
          </w:p>
        </w:tc>
        <w:tc>
          <w:tcPr>
            <w:tcW w:type="dxa" w:w="1440"/>
          </w:tcPr>
          <w:p>
            <w:r>
              <w:rPr>
                <w:rFonts w:ascii="Calibri" w:hAnsi="Calibri"/>
                <w:sz w:val="22"/>
              </w:rPr>
              <w:t>Small indirect sale; filed May 12 (late disclosure); routine in size</w:t>
            </w:r>
          </w:p>
        </w:tc>
      </w:tr>
    </w:tbl>
    <w:p>
      <w:r>
        <w:rPr>
          <w:rFonts w:ascii="Calibri" w:hAnsi="Calibri"/>
          <w:i/>
          <w:color w:val="525866"/>
          <w:sz w:val="22"/>
        </w:rPr>
        <w:t>Source: SEC Form 4 Filings Database.</w:t>
      </w:r>
    </w:p>
    <w:p>
      <w:r>
        <w:rPr>
          <w:rFonts w:ascii="Calibri" w:hAnsi="Calibri"/>
          <w:b/>
          <w:color w:val="525866"/>
          <w:sz w:val="22"/>
        </w:rPr>
        <w:t xml:space="preserve">Overall Assessment: </w:t>
      </w:r>
      <w:r>
        <w:rPr>
          <w:rFonts w:ascii="Calibri" w:hAnsi="Calibri"/>
          <w:color w:val="525866"/>
          <w:sz w:val="22"/>
        </w:rPr>
        <w:t>The insider picture is net positive. Schwarzman’s June 23 open-market purchase on the same day as the positive realization 8-K is the most meaningful signal — it suggests the CEO has conviction that the stock is undervalued at current levels. The large May 15 indirect purchase (~9.5M shares) at prices around $115–$120 also reflects confidence. The June 16 sale of 7.5M shares (indirect) is large in absolute terms but appears to be a pre-planned disposition given the simultaneous buying activity. No 10b5-1 plan initiations were disclosed in the period.</w:t>
      </w:r>
    </w:p>
    <w:p>
      <w:r>
        <w:br w:type="page"/>
      </w:r>
    </w:p>
    <w:p>
      <w:pPr>
        <w:pStyle w:val="Heading2"/>
      </w:pPr>
      <w:r>
        <w:rPr>
          <w:rFonts w:ascii="Calibri" w:hAnsi="Calibri"/>
          <w:b/>
          <w:color w:val="3B4259"/>
          <w:sz w:val="28"/>
        </w:rPr>
        <w:t>8. Peer Commentary &amp; Q2 2026 Read-Throughs</w:t>
      </w:r>
    </w:p>
    <w:p>
      <w:r>
        <w:rPr>
          <w:rFonts w:ascii="Calibri" w:hAnsi="Calibri"/>
          <w:b/>
          <w:color w:val="525866"/>
          <w:sz w:val="22"/>
        </w:rPr>
        <w:t xml:space="preserve">Key Takeaway: </w:t>
      </w:r>
      <w:r>
        <w:rPr>
          <w:rFonts w:ascii="Calibri" w:hAnsi="Calibri"/>
          <w:color w:val="525866"/>
          <w:sz w:val="22"/>
        </w:rPr>
        <w:t>Peer commentary from the last 60 days is broadly constructive for BX’s Q2 setup. Institutional fundraising is universally described as robust; private credit redemption pressure in the wealth channel is expected to persist but is moderating (Blue Owl’s Q2 redemption requests eased to $4.7B from prior levels); credit quality across the sector remains healthy; and the AI/data center deployment theme is described as a “generational CapEx super cycle” by multiple managers. The most important BX-specific read-through is Ares’ July 9 8-K, which disclosed Q2 2026 performance income above $50M — a positive signal for the broader sector’s realization environment.</w:t>
      </w:r>
    </w:p>
    <w:p>
      <w:r>
        <w:rPr>
          <w:rFonts w:ascii="Calibri" w:hAnsi="Calibri"/>
          <w:b/>
          <w:i/>
          <w:color w:val="525866"/>
          <w:sz w:val="22"/>
        </w:rPr>
        <w:t xml:space="preserve">Note: </w:t>
      </w:r>
      <w:r>
        <w:rPr>
          <w:rFonts w:ascii="Calibri" w:hAnsi="Calibri"/>
          <w:i/>
          <w:color w:val="525866"/>
          <w:sz w:val="22"/>
        </w:rPr>
        <w:t>All commentary below is from the current Q2 2026 reporting period (post-Q1 earnings, addressing Q2 or forward outlook). Prior-quarter retrospective commentary has been excluded.</w:t>
      </w:r>
    </w:p>
    <w:p>
      <w:pPr>
        <w:pStyle w:val="Heading3"/>
      </w:pPr>
      <w:r>
        <w:rPr>
          <w:rFonts w:ascii="Calibri" w:hAnsi="Calibri"/>
          <w:b/>
          <w:color w:val="3B4259"/>
          <w:sz w:val="24"/>
        </w:rPr>
        <w:t>8.1 Private Credit: Redemptions &amp; Wealth Channel</w:t>
      </w:r>
    </w:p>
    <w:p>
      <w:r>
        <w:rPr>
          <w:rFonts w:ascii="Calibri" w:hAnsi="Calibri"/>
          <w:color w:val="525866"/>
          <w:sz w:val="22"/>
        </w:rPr>
        <w:t>The most directly relevant read-through for BX’s BCRED and wealth channel dynamics:</w:t>
      </w:r>
    </w:p>
    <w:p>
      <w:pPr>
        <w:pStyle w:val="ListBullet"/>
        <w:ind w:left="360" w:hanging="360"/>
      </w:pPr>
      <w:r>
        <w:rPr>
          <w:rFonts w:ascii="Calibri" w:hAnsi="Calibri"/>
          <w:b/>
          <w:color w:val="525866"/>
          <w:sz w:val="22"/>
        </w:rPr>
        <w:t>Blue Owl (OWL) — July 2, 2026:</w:t>
      </w:r>
      <w:r>
        <w:rPr>
          <w:rFonts w:ascii="Calibri" w:hAnsi="Calibri"/>
          <w:color w:val="525866"/>
          <w:sz w:val="22"/>
        </w:rPr>
        <w:t xml:space="preserve"> Blue Owl maintained its 5% withdrawal limit for private credit funds, but Q2 redemption requests eased to $4.7B from elevated prior levels. An analyst noted this as a sign that “private credit redemptions may have peaked.” OWL stock rose 5% on the news. </w:t>
      </w:r>
      <w:r>
        <w:rPr>
          <w:rFonts w:ascii="Calibri" w:hAnsi="Calibri"/>
          <w:b/>
          <w:i/>
          <w:color w:val="525866"/>
          <w:sz w:val="22"/>
        </w:rPr>
        <w:t xml:space="preserve">BX Read-Through: </w:t>
      </w:r>
      <w:r>
        <w:rPr>
          <w:rFonts w:ascii="Calibri" w:hAnsi="Calibri"/>
          <w:i/>
          <w:color w:val="525866"/>
          <w:sz w:val="22"/>
        </w:rPr>
        <w:t>Positive — if OWL’s redemption requests are peaking, BCRED’s net outflows in Q2 may be smaller than Q1’s $1.4B, consistent with Gray’s June 1 wealth channel recovery signal.</w:t>
      </w:r>
    </w:p>
    <w:p>
      <w:pPr>
        <w:pStyle w:val="ListBullet"/>
        <w:ind w:left="360" w:hanging="360"/>
      </w:pPr>
      <w:r>
        <w:rPr>
          <w:rFonts w:ascii="Calibri" w:hAnsi="Calibri"/>
          <w:b/>
          <w:color w:val="525866"/>
          <w:sz w:val="22"/>
        </w:rPr>
        <w:t>Ares (ARES) — June 25, 2026:</w:t>
      </w:r>
      <w:r>
        <w:rPr>
          <w:rFonts w:ascii="Calibri" w:hAnsi="Calibri"/>
          <w:color w:val="525866"/>
          <w:sz w:val="22"/>
        </w:rPr>
        <w:t xml:space="preserve"> Ares capped redemptions on its private credit fund for the second time as 14% of investors sought to withdraw, mirroring a wider industry trend (Barron’s). </w:t>
      </w:r>
      <w:r>
        <w:rPr>
          <w:rFonts w:ascii="Calibri" w:hAnsi="Calibri"/>
          <w:b/>
          <w:i/>
          <w:color w:val="525866"/>
          <w:sz w:val="22"/>
        </w:rPr>
        <w:t xml:space="preserve">BX Read-Through: </w:t>
      </w:r>
      <w:r>
        <w:rPr>
          <w:rFonts w:ascii="Calibri" w:hAnsi="Calibri"/>
          <w:i/>
          <w:color w:val="525866"/>
          <w:sz w:val="22"/>
        </w:rPr>
        <w:t>Mixed — confirms ongoing redemption pressure in the wealth channel for private credit products, but BX’s BCRED has not needed to cap redemptions, suggesting better relative positioning.</w:t>
      </w:r>
    </w:p>
    <w:p>
      <w:pPr>
        <w:pStyle w:val="ListBullet"/>
        <w:ind w:left="360" w:hanging="360"/>
      </w:pPr>
      <w:r>
        <w:rPr>
          <w:rFonts w:ascii="Calibri" w:hAnsi="Calibri"/>
          <w:b/>
          <w:color w:val="525866"/>
          <w:sz w:val="22"/>
        </w:rPr>
        <w:t>Apollo (APO) — Bernstein Conference, May 28, 2026 (James Zelter):</w:t>
      </w:r>
      <w:r>
        <w:rPr>
          <w:rFonts w:ascii="Calibri" w:hAnsi="Calibri"/>
          <w:color w:val="525866"/>
          <w:sz w:val="22"/>
        </w:rPr>
        <w:t xml:space="preserve"> Zelter stated elevated redemptions in non-traded BDCs are expected to continue “over the next couple of quarters” and that “we’re not through the turbulence yet.” He also flagged that he “suspects the disruption will cause a variety of defaults across high-yield, BSLs and direct lending.” </w:t>
      </w:r>
      <w:r>
        <w:rPr>
          <w:rFonts w:ascii="Calibri" w:hAnsi="Calibri"/>
          <w:b/>
          <w:i/>
          <w:color w:val="525866"/>
          <w:sz w:val="22"/>
        </w:rPr>
        <w:t xml:space="preserve">BX Read-Through: </w:t>
      </w:r>
      <w:r>
        <w:rPr>
          <w:rFonts w:ascii="Calibri" w:hAnsi="Calibri"/>
          <w:i/>
          <w:color w:val="525866"/>
          <w:sz w:val="22"/>
        </w:rPr>
        <w:t>Mixed — APO’s more cautious credit quality view is an outlier vs. peers; BX management has been more dismissive of default concerns, citing BCRED’s strong fundamentals (EBITDA up double digits, debt service coverage ratios up 20%).</w:t>
      </w:r>
    </w:p>
    <w:p>
      <w:pPr>
        <w:pStyle w:val="ListBullet"/>
        <w:ind w:left="360" w:hanging="360"/>
      </w:pPr>
      <w:r>
        <w:rPr>
          <w:rFonts w:ascii="Calibri" w:hAnsi="Calibri"/>
          <w:b/>
          <w:color w:val="525866"/>
          <w:sz w:val="22"/>
        </w:rPr>
        <w:t>Blue Owl (OWL) — Bernstein Conference, May 29, 2026 (Marc Lipschultz):</w:t>
      </w:r>
      <w:r>
        <w:rPr>
          <w:rFonts w:ascii="Calibri" w:hAnsi="Calibri"/>
          <w:color w:val="525866"/>
          <w:sz w:val="22"/>
        </w:rPr>
        <w:t xml:space="preserve"> Lipschultz stated “fundraising for direct lending across the board is clearly down in Q2” but expects “elevated redemptions for the rest of the year.” However, he noted a “total change in tone” with investors interested in investing again, and that real assets are “thriving.” </w:t>
      </w:r>
      <w:r>
        <w:rPr>
          <w:rFonts w:ascii="Calibri" w:hAnsi="Calibri"/>
          <w:b/>
          <w:i/>
          <w:color w:val="525866"/>
          <w:sz w:val="22"/>
        </w:rPr>
        <w:t xml:space="preserve">BX Read-Through: </w:t>
      </w:r>
      <w:r>
        <w:rPr>
          <w:rFonts w:ascii="Calibri" w:hAnsi="Calibri"/>
          <w:i/>
          <w:color w:val="525866"/>
          <w:sz w:val="22"/>
        </w:rPr>
        <w:t>Consistent with BX’s own Q2 experience — credit wealth channel soft, but real assets (BREIT, BX Infra) holding up well.</w:t>
      </w:r>
    </w:p>
    <w:p>
      <w:pPr>
        <w:pStyle w:val="ListBullet"/>
        <w:ind w:left="360" w:hanging="360"/>
      </w:pPr>
      <w:r>
        <w:rPr>
          <w:rFonts w:ascii="Calibri" w:hAnsi="Calibri"/>
          <w:b/>
          <w:color w:val="525866"/>
          <w:sz w:val="22"/>
        </w:rPr>
        <w:t>Ares (ARES) — Goldman Sachs European Financials Conference, June 3, 2026 (Blair Jacobson):</w:t>
      </w:r>
      <w:r>
        <w:rPr>
          <w:rFonts w:ascii="Calibri" w:hAnsi="Calibri"/>
          <w:color w:val="525866"/>
          <w:sz w:val="22"/>
        </w:rPr>
        <w:t xml:space="preserve"> Jacobson confirmed “a lot of redemptions in the first quarter” and expects “more” in Q2, with gross sales having “pulled back in a pretty meaningful way.” However, the infrastructure fund saw “$700M of inflows in May” and the firm expects its “overall wealth business to grow in 2026.” </w:t>
      </w:r>
      <w:r>
        <w:rPr>
          <w:rFonts w:ascii="Calibri" w:hAnsi="Calibri"/>
          <w:b/>
          <w:i/>
          <w:color w:val="525866"/>
          <w:sz w:val="22"/>
        </w:rPr>
        <w:t xml:space="preserve">BX Read-Through: </w:t>
      </w:r>
      <w:r>
        <w:rPr>
          <w:rFonts w:ascii="Calibri" w:hAnsi="Calibri"/>
          <w:i/>
          <w:color w:val="525866"/>
          <w:sz w:val="22"/>
        </w:rPr>
        <w:t>Confirms the bifurcation BX has described — credit wealth channel under pressure, but infrastructure and PE products resilient.</w:t>
      </w:r>
    </w:p>
    <w:p>
      <w:pPr>
        <w:pStyle w:val="ListBullet"/>
        <w:ind w:left="360" w:hanging="360"/>
      </w:pPr>
      <w:r>
        <w:rPr>
          <w:rFonts w:ascii="Calibri" w:hAnsi="Calibri"/>
          <w:b/>
          <w:color w:val="525866"/>
          <w:sz w:val="22"/>
        </w:rPr>
        <w:t>Carlyle (CG) — Morgan Stanley Conference, June 10, 2026 (Justin Plaehn):</w:t>
      </w:r>
      <w:r>
        <w:rPr>
          <w:rFonts w:ascii="Calibri" w:hAnsi="Calibri"/>
          <w:color w:val="525866"/>
          <w:sz w:val="22"/>
        </w:rPr>
        <w:t xml:space="preserve"> Plaehn acknowledged “bumps in the road” for fundraising, stating “right now it’s private credit,” but expressed confidence in the long-term wealth channel opportunity. </w:t>
      </w:r>
      <w:r>
        <w:rPr>
          <w:rFonts w:ascii="Calibri" w:hAnsi="Calibri"/>
          <w:b/>
          <w:i/>
          <w:color w:val="525866"/>
          <w:sz w:val="22"/>
        </w:rPr>
        <w:t xml:space="preserve">BX Read-Through: </w:t>
      </w:r>
      <w:r>
        <w:rPr>
          <w:rFonts w:ascii="Calibri" w:hAnsi="Calibri"/>
          <w:i/>
          <w:color w:val="525866"/>
          <w:sz w:val="22"/>
        </w:rPr>
        <w:t>Consistent with BX’s narrative that private credit wealth channel headwinds are temporary.</w:t>
      </w:r>
    </w:p>
    <w:p>
      <w:pPr>
        <w:pStyle w:val="Heading3"/>
      </w:pPr>
      <w:r>
        <w:rPr>
          <w:rFonts w:ascii="Calibri" w:hAnsi="Calibri"/>
          <w:b/>
          <w:color w:val="3B4259"/>
          <w:sz w:val="24"/>
        </w:rPr>
        <w:t>8.2 Institutional Fundraising &amp; Insurance</w:t>
      </w:r>
    </w:p>
    <w:p>
      <w:pPr>
        <w:pStyle w:val="ListBullet"/>
        <w:ind w:left="360" w:hanging="360"/>
      </w:pPr>
      <w:r>
        <w:rPr>
          <w:rFonts w:ascii="Calibri" w:hAnsi="Calibri"/>
          <w:b/>
          <w:color w:val="525866"/>
          <w:sz w:val="22"/>
        </w:rPr>
        <w:t>KKR — Bernstein Conference, May 27, 2026 (Scott Nuttall):</w:t>
      </w:r>
      <w:r>
        <w:rPr>
          <w:rFonts w:ascii="Calibri" w:hAnsi="Calibri"/>
          <w:color w:val="525866"/>
          <w:sz w:val="22"/>
        </w:rPr>
        <w:t xml:space="preserve"> KKR raised $127B in the last 12 months, near its all-time record. Nuttall noted that “media noise has increased a dialogue with institutions about things like direct lending and private credit” — i.e., the noise is actually driving more institutional engagement, not less. KKR’s wealth business grew 80% in the last 12 months, with 7 of 8 wealth vehicles having positive inflows in Q1. </w:t>
      </w:r>
      <w:r>
        <w:rPr>
          <w:rFonts w:ascii="Calibri" w:hAnsi="Calibri"/>
          <w:b/>
          <w:i/>
          <w:color w:val="525866"/>
          <w:sz w:val="22"/>
        </w:rPr>
        <w:t xml:space="preserve">BX Read-Through: </w:t>
      </w:r>
      <w:r>
        <w:rPr>
          <w:rFonts w:ascii="Calibri" w:hAnsi="Calibri"/>
          <w:i/>
          <w:color w:val="525866"/>
          <w:sz w:val="22"/>
        </w:rPr>
        <w:t>Strongly positive — institutional demand is robust across the sector; BX’s institutional channel (representing ~half of Q1 inflows) should remain strong in Q2.</w:t>
      </w:r>
    </w:p>
    <w:p>
      <w:pPr>
        <w:pStyle w:val="ListBullet"/>
        <w:ind w:left="360" w:hanging="360"/>
      </w:pPr>
      <w:r>
        <w:rPr>
          <w:rFonts w:ascii="Calibri" w:hAnsi="Calibri"/>
          <w:b/>
          <w:color w:val="525866"/>
          <w:sz w:val="22"/>
        </w:rPr>
        <w:t>Ares (ARES) — Bernstein Conference, May 27, 2026:</w:t>
      </w:r>
      <w:r>
        <w:rPr>
          <w:rFonts w:ascii="Calibri" w:hAnsi="Calibri"/>
          <w:color w:val="525866"/>
          <w:sz w:val="22"/>
        </w:rPr>
        <w:t xml:space="preserve"> Ares pulled forward the raise for its U.S. direct lending strategy, citing a “quite solid” and “broad based” institutional market. Investors view the current environment as a “very, very strong vintage year.” </w:t>
      </w:r>
      <w:r>
        <w:rPr>
          <w:rFonts w:ascii="Calibri" w:hAnsi="Calibri"/>
          <w:b/>
          <w:i/>
          <w:color w:val="525866"/>
          <w:sz w:val="22"/>
        </w:rPr>
        <w:t xml:space="preserve">BX Read-Through: </w:t>
      </w:r>
      <w:r>
        <w:rPr>
          <w:rFonts w:ascii="Calibri" w:hAnsi="Calibri"/>
          <w:i/>
          <w:color w:val="525866"/>
          <w:sz w:val="22"/>
        </w:rPr>
        <w:t>Positive — institutional demand for private credit remains strong despite wealth channel noise.</w:t>
      </w:r>
    </w:p>
    <w:p>
      <w:pPr>
        <w:pStyle w:val="ListBullet"/>
        <w:ind w:left="360" w:hanging="360"/>
      </w:pPr>
      <w:r>
        <w:rPr>
          <w:rFonts w:ascii="Calibri" w:hAnsi="Calibri"/>
          <w:b/>
          <w:color w:val="525866"/>
          <w:sz w:val="22"/>
        </w:rPr>
        <w:t>TPG — Morgan Stanley Conference, June 9, 2026 (Todd Sisitsky):</w:t>
      </w:r>
      <w:r>
        <w:rPr>
          <w:rFonts w:ascii="Calibri" w:hAnsi="Calibri"/>
          <w:color w:val="525866"/>
          <w:sz w:val="22"/>
        </w:rPr>
        <w:t xml:space="preserve"> TPG’s BDC (TCAP) had redemptions of only 2.1%, “well under the 5% cap.” TPG’s evergreen PE fund T-POP has “exciting traction,” and TPG plans to launch a real estate product for private wealth in the “near immediate term.” The Jackson insurance partnership is “excellent” with more dialogues underway. </w:t>
      </w:r>
      <w:r>
        <w:rPr>
          <w:rFonts w:ascii="Calibri" w:hAnsi="Calibri"/>
          <w:b/>
          <w:i/>
          <w:color w:val="525866"/>
          <w:sz w:val="22"/>
        </w:rPr>
        <w:t xml:space="preserve">BX Read-Through: </w:t>
      </w:r>
      <w:r>
        <w:rPr>
          <w:rFonts w:ascii="Calibri" w:hAnsi="Calibri"/>
          <w:i/>
          <w:color w:val="525866"/>
          <w:sz w:val="22"/>
        </w:rPr>
        <w:t>Positive — confirms that PE-focused wealth products are outperforming credit-focused ones; consistent with BX’s June 1 PE inflow record.</w:t>
      </w:r>
    </w:p>
    <w:p>
      <w:pPr>
        <w:pStyle w:val="Heading3"/>
      </w:pPr>
      <w:r>
        <w:rPr>
          <w:rFonts w:ascii="Calibri" w:hAnsi="Calibri"/>
          <w:b/>
          <w:color w:val="3B4259"/>
          <w:sz w:val="24"/>
        </w:rPr>
        <w:t>8.3 Realizations, Exits &amp; Capital Markets</w:t>
      </w:r>
    </w:p>
    <w:p>
      <w:pPr>
        <w:pStyle w:val="ListBullet"/>
        <w:ind w:left="360" w:hanging="360"/>
      </w:pPr>
      <w:r>
        <w:rPr>
          <w:rFonts w:ascii="Calibri" w:hAnsi="Calibri"/>
          <w:b/>
          <w:color w:val="525866"/>
          <w:sz w:val="22"/>
        </w:rPr>
        <w:t>Ares (ARES) — July 9, 2026 (8-K):</w:t>
      </w:r>
      <w:r>
        <w:rPr>
          <w:rFonts w:ascii="Calibri" w:hAnsi="Calibri"/>
          <w:color w:val="525866"/>
          <w:sz w:val="22"/>
        </w:rPr>
        <w:t xml:space="preserve"> Ares disclosed that Q2 2026 performance income is expected to exceed $50M. </w:t>
      </w:r>
      <w:r>
        <w:rPr>
          <w:rFonts w:ascii="Calibri" w:hAnsi="Calibri"/>
          <w:b/>
          <w:i/>
          <w:color w:val="525866"/>
          <w:sz w:val="22"/>
        </w:rPr>
        <w:t xml:space="preserve">BX Read-Through: </w:t>
      </w:r>
      <w:r>
        <w:rPr>
          <w:rFonts w:ascii="Calibri" w:hAnsi="Calibri"/>
          <w:i/>
          <w:color w:val="525866"/>
          <w:sz w:val="22"/>
        </w:rPr>
        <w:t>Positive — confirms that the broader sector is generating realized performance revenues in Q2, consistent with BX’s own &gt;$500M pre-announcement.</w:t>
      </w:r>
    </w:p>
    <w:p>
      <w:pPr>
        <w:pStyle w:val="ListBullet"/>
        <w:ind w:left="360" w:hanging="360"/>
      </w:pPr>
      <w:r>
        <w:rPr>
          <w:rFonts w:ascii="Calibri" w:hAnsi="Calibri"/>
          <w:b/>
          <w:color w:val="525866"/>
          <w:sz w:val="22"/>
        </w:rPr>
        <w:t>KKR — Bernstein Conference, May 27, 2026 (Scott Nuttall):</w:t>
      </w:r>
      <w:r>
        <w:rPr>
          <w:rFonts w:ascii="Calibri" w:hAnsi="Calibri"/>
          <w:color w:val="525866"/>
          <w:sz w:val="22"/>
        </w:rPr>
        <w:t xml:space="preserve"> KKR cited “record monetization visibility” and highlighted recent high-multiple exits (CoolIT at 15x, Kokusai Electric at 20x). The exit market is “very broad-based and global.” </w:t>
      </w:r>
      <w:r>
        <w:rPr>
          <w:rFonts w:ascii="Calibri" w:hAnsi="Calibri"/>
          <w:b/>
          <w:i/>
          <w:color w:val="525866"/>
          <w:sz w:val="22"/>
        </w:rPr>
        <w:t xml:space="preserve">BX Read-Through: </w:t>
      </w:r>
      <w:r>
        <w:rPr>
          <w:rFonts w:ascii="Calibri" w:hAnsi="Calibri"/>
          <w:i/>
          <w:color w:val="525866"/>
          <w:sz w:val="22"/>
        </w:rPr>
        <w:t>Strongly positive — KKR’s record monetization visibility and high-multiple exits suggest the realization environment is favorable for BX’s own IPO and M&amp;A pipeline.</w:t>
      </w:r>
    </w:p>
    <w:p>
      <w:pPr>
        <w:pStyle w:val="ListBullet"/>
        <w:ind w:left="360" w:hanging="360"/>
      </w:pPr>
      <w:r>
        <w:rPr>
          <w:rFonts w:ascii="Calibri" w:hAnsi="Calibri"/>
          <w:b/>
          <w:color w:val="525866"/>
          <w:sz w:val="22"/>
        </w:rPr>
        <w:t>TPG — Morgan Stanley Conference, June 9, 2026:</w:t>
      </w:r>
      <w:r>
        <w:rPr>
          <w:rFonts w:ascii="Calibri" w:hAnsi="Calibri"/>
          <w:color w:val="525866"/>
          <w:sz w:val="22"/>
        </w:rPr>
        <w:t xml:space="preserve"> TPG expressed confidence in “meaningful liquidity in the second half” of 2026 but acknowledged that “volatility in the broader marketplace is always going to be a headwind for exits.” Q1 deployment was up 74% YoY. </w:t>
      </w:r>
      <w:r>
        <w:rPr>
          <w:rFonts w:ascii="Calibri" w:hAnsi="Calibri"/>
          <w:b/>
          <w:i/>
          <w:color w:val="525866"/>
          <w:sz w:val="22"/>
        </w:rPr>
        <w:t xml:space="preserve">BX Read-Through: </w:t>
      </w:r>
      <w:r>
        <w:rPr>
          <w:rFonts w:ascii="Calibri" w:hAnsi="Calibri"/>
          <w:i/>
          <w:color w:val="525866"/>
          <w:sz w:val="22"/>
        </w:rPr>
        <w:t>Consistent with BX’s H2 realization acceleration thesis; confirms deployment environment is strong.</w:t>
      </w:r>
    </w:p>
    <w:p>
      <w:pPr>
        <w:pStyle w:val="ListBullet"/>
        <w:ind w:left="360" w:hanging="360"/>
      </w:pPr>
      <w:r>
        <w:rPr>
          <w:rFonts w:ascii="Calibri" w:hAnsi="Calibri"/>
          <w:b/>
          <w:color w:val="525866"/>
          <w:sz w:val="22"/>
        </w:rPr>
        <w:t>Blue Owl (OWL) — Bernstein Conference, May 29, 2026:</w:t>
      </w:r>
      <w:r>
        <w:rPr>
          <w:rFonts w:ascii="Calibri" w:hAnsi="Calibri"/>
          <w:color w:val="525866"/>
          <w:sz w:val="22"/>
        </w:rPr>
        <w:t xml:space="preserve"> Lipschultz stated “deal flow is low” for M&amp;A activity for sponsors, but expects activity to pick up “as market noise lifts.” Digital infrastructure deployment pipeline is “probably $100B” in size. </w:t>
      </w:r>
      <w:r>
        <w:rPr>
          <w:rFonts w:ascii="Calibri" w:hAnsi="Calibri"/>
          <w:b/>
          <w:i/>
          <w:color w:val="525866"/>
          <w:sz w:val="22"/>
        </w:rPr>
        <w:t xml:space="preserve">BX Read-Through: </w:t>
      </w:r>
      <w:r>
        <w:rPr>
          <w:rFonts w:ascii="Calibri" w:hAnsi="Calibri"/>
          <w:i/>
          <w:color w:val="525866"/>
          <w:sz w:val="22"/>
        </w:rPr>
        <w:t>Mixed — confirms near-term M&amp;A slowdown but strong digital infrastructure deployment, consistent with BX’s own experience.</w:t>
      </w:r>
    </w:p>
    <w:p>
      <w:pPr>
        <w:pStyle w:val="ListBullet"/>
        <w:ind w:left="360" w:hanging="360"/>
      </w:pPr>
      <w:r>
        <w:rPr>
          <w:rFonts w:ascii="Calibri" w:hAnsi="Calibri"/>
          <w:b/>
          <w:color w:val="525866"/>
          <w:sz w:val="22"/>
        </w:rPr>
        <w:t>Carlyle (CG) — Morgan Stanley Conference, June 10, 2026:</w:t>
      </w:r>
      <w:r>
        <w:rPr>
          <w:rFonts w:ascii="Calibri" w:hAnsi="Calibri"/>
          <w:color w:val="525866"/>
          <w:sz w:val="22"/>
        </w:rPr>
        <w:t xml:space="preserve"> Plaehn called carried interest “a really hard thing to predict quarter to quarter” but expects realizations from several funds “as the year goes on,” including U.S. real estate, Japan buyout, and Europe technology. </w:t>
      </w:r>
      <w:r>
        <w:rPr>
          <w:rFonts w:ascii="Calibri" w:hAnsi="Calibri"/>
          <w:b/>
          <w:i/>
          <w:color w:val="525866"/>
          <w:sz w:val="22"/>
        </w:rPr>
        <w:t xml:space="preserve">BX Read-Through: </w:t>
      </w:r>
      <w:r>
        <w:rPr>
          <w:rFonts w:ascii="Calibri" w:hAnsi="Calibri"/>
          <w:i/>
          <w:color w:val="525866"/>
          <w:sz w:val="22"/>
        </w:rPr>
        <w:t>Neutral — confirms realization timing uncertainty but also confirms the pipeline is building.</w:t>
      </w:r>
    </w:p>
    <w:p>
      <w:pPr>
        <w:pStyle w:val="Heading3"/>
      </w:pPr>
      <w:r>
        <w:rPr>
          <w:rFonts w:ascii="Calibri" w:hAnsi="Calibri"/>
          <w:b/>
          <w:color w:val="3B4259"/>
          <w:sz w:val="24"/>
        </w:rPr>
        <w:t>8.4 AI &amp; Data Center Infrastructure</w:t>
      </w:r>
    </w:p>
    <w:p>
      <w:pPr>
        <w:pStyle w:val="ListBullet"/>
        <w:ind w:left="360" w:hanging="360"/>
      </w:pPr>
      <w:r>
        <w:rPr>
          <w:rFonts w:ascii="Calibri" w:hAnsi="Calibri"/>
          <w:b/>
          <w:color w:val="525866"/>
          <w:sz w:val="22"/>
        </w:rPr>
        <w:t>Ares (ARES) — Goldman Sachs European Financials Conference, June 3, 2026:</w:t>
      </w:r>
      <w:r>
        <w:rPr>
          <w:rFonts w:ascii="Calibri" w:hAnsi="Calibri"/>
          <w:color w:val="525866"/>
          <w:sz w:val="22"/>
        </w:rPr>
        <w:t xml:space="preserve"> Jacobson stated “we are in the midst of a generational CapEx super cycle for digital,” with a “$900B” third-party bid for data center buildings over the next five years. Reduced competition from retail-dependent peers has “created 50 to 75 basis points of additional spread and fee opportunity.” </w:t>
      </w:r>
      <w:r>
        <w:rPr>
          <w:rFonts w:ascii="Calibri" w:hAnsi="Calibri"/>
          <w:b/>
          <w:i/>
          <w:color w:val="525866"/>
          <w:sz w:val="22"/>
        </w:rPr>
        <w:t xml:space="preserve">BX Read-Through: </w:t>
      </w:r>
      <w:r>
        <w:rPr>
          <w:rFonts w:ascii="Calibri" w:hAnsi="Calibri"/>
          <w:i/>
          <w:color w:val="525866"/>
          <w:sz w:val="22"/>
        </w:rPr>
        <w:t>Strongly positive — validates BX’s $160B+ data center portfolio thesis; the spread/fee opportunity benefits BX’s investment-grade private credit platform.</w:t>
      </w:r>
    </w:p>
    <w:p>
      <w:pPr>
        <w:pStyle w:val="ListBullet"/>
        <w:ind w:left="360" w:hanging="360"/>
      </w:pPr>
      <w:r>
        <w:rPr>
          <w:rFonts w:ascii="Calibri" w:hAnsi="Calibri"/>
          <w:b/>
          <w:color w:val="525866"/>
          <w:sz w:val="22"/>
        </w:rPr>
        <w:t>Blue Owl (OWL) — Bernstein Conference, May 29, 2026:</w:t>
      </w:r>
      <w:r>
        <w:rPr>
          <w:rFonts w:ascii="Calibri" w:hAnsi="Calibri"/>
          <w:color w:val="525866"/>
          <w:sz w:val="22"/>
        </w:rPr>
        <w:t xml:space="preserve"> Lipschultz described a “monumental” digital infrastructure pipeline of “probably $100B” and called deployment in triple net lease and digital infrastructure “very, very strong.” </w:t>
      </w:r>
      <w:r>
        <w:rPr>
          <w:rFonts w:ascii="Calibri" w:hAnsi="Calibri"/>
          <w:b/>
          <w:i/>
          <w:color w:val="525866"/>
          <w:sz w:val="22"/>
        </w:rPr>
        <w:t xml:space="preserve">BX Read-Through: </w:t>
      </w:r>
      <w:r>
        <w:rPr>
          <w:rFonts w:ascii="Calibri" w:hAnsi="Calibri"/>
          <w:i/>
          <w:color w:val="525866"/>
          <w:sz w:val="22"/>
        </w:rPr>
        <w:t>Positive — confirms the scale of the AI infrastructure opportunity; BX’s $160B+ portfolio is the largest in the sector.</w:t>
      </w:r>
    </w:p>
    <w:p>
      <w:pPr>
        <w:pStyle w:val="ListBullet"/>
        <w:ind w:left="360" w:hanging="360"/>
      </w:pPr>
      <w:r>
        <w:rPr>
          <w:rFonts w:ascii="Calibri" w:hAnsi="Calibri"/>
          <w:b/>
          <w:color w:val="525866"/>
          <w:sz w:val="22"/>
        </w:rPr>
        <w:t>KKR — Bernstein Conference, May 27, 2026:</w:t>
      </w:r>
      <w:r>
        <w:rPr>
          <w:rFonts w:ascii="Calibri" w:hAnsi="Calibri"/>
          <w:color w:val="525866"/>
          <w:sz w:val="22"/>
        </w:rPr>
        <w:t xml:space="preserve"> Nuttall noted KKR has deployed “$40–45B across digitalization, data centers, fiber-to-the-home, towers” globally and expects this to “go up quite a bit.” AI is now “part of the value creation plans of every new investment.” </w:t>
      </w:r>
      <w:r>
        <w:rPr>
          <w:rFonts w:ascii="Calibri" w:hAnsi="Calibri"/>
          <w:b/>
          <w:i/>
          <w:color w:val="525866"/>
          <w:sz w:val="22"/>
        </w:rPr>
        <w:t xml:space="preserve">BX Read-Through: </w:t>
      </w:r>
      <w:r>
        <w:rPr>
          <w:rFonts w:ascii="Calibri" w:hAnsi="Calibri"/>
          <w:i/>
          <w:color w:val="525866"/>
          <w:sz w:val="22"/>
        </w:rPr>
        <w:t>Positive — confirms sector-wide conviction on AI infrastructure; BX’s scale advantage ($160B+ vs. KKR’s $40–45B) is a meaningful differentiator.</w:t>
      </w:r>
    </w:p>
    <w:p>
      <w:pPr>
        <w:pStyle w:val="ListBullet"/>
        <w:ind w:left="360" w:hanging="360"/>
      </w:pPr>
      <w:r>
        <w:rPr>
          <w:rFonts w:ascii="Calibri" w:hAnsi="Calibri"/>
          <w:b/>
          <w:color w:val="525866"/>
          <w:sz w:val="22"/>
        </w:rPr>
        <w:t>KKR — June 11, 2026:</w:t>
      </w:r>
      <w:r>
        <w:rPr>
          <w:rFonts w:ascii="Calibri" w:hAnsi="Calibri"/>
          <w:color w:val="525866"/>
          <w:sz w:val="22"/>
        </w:rPr>
        <w:t xml:space="preserve"> KKR, Nvidia, and Vistra launched Helix Digital Infrastructure, a new $10B company to build AI infrastructure for hyperscalers. </w:t>
      </w:r>
      <w:r>
        <w:rPr>
          <w:rFonts w:ascii="Calibri" w:hAnsi="Calibri"/>
          <w:b/>
          <w:i/>
          <w:color w:val="525866"/>
          <w:sz w:val="22"/>
        </w:rPr>
        <w:t xml:space="preserve">BX Read-Through: </w:t>
      </w:r>
      <w:r>
        <w:rPr>
          <w:rFonts w:ascii="Calibri" w:hAnsi="Calibri"/>
          <w:i/>
          <w:color w:val="525866"/>
          <w:sz w:val="22"/>
        </w:rPr>
        <w:t>Positive — confirms the AI infrastructure buildout is accelerating across the sector; BX’s Nio Cloud/Google JV and Broadcom/Apollo XPV Platform participation are comparable transactions.</w:t>
      </w:r>
    </w:p>
    <w:p>
      <w:pPr>
        <w:pStyle w:val="Heading3"/>
      </w:pPr>
      <w:r>
        <w:rPr>
          <w:rFonts w:ascii="Calibri" w:hAnsi="Calibri"/>
          <w:b/>
          <w:color w:val="3B4259"/>
          <w:sz w:val="24"/>
        </w:rPr>
        <w:t>8.5 Real Estate</w:t>
      </w:r>
    </w:p>
    <w:p>
      <w:pPr>
        <w:pStyle w:val="ListBullet"/>
        <w:ind w:left="360" w:hanging="360"/>
      </w:pPr>
      <w:r>
        <w:rPr>
          <w:rFonts w:ascii="Calibri" w:hAnsi="Calibri"/>
          <w:b/>
          <w:color w:val="525866"/>
          <w:sz w:val="22"/>
        </w:rPr>
        <w:t>Blue Owl (OWL) — Bernstein Conference, May 29, 2026:</w:t>
      </w:r>
      <w:r>
        <w:rPr>
          <w:rFonts w:ascii="Calibri" w:hAnsi="Calibri"/>
          <w:color w:val="525866"/>
          <w:sz w:val="22"/>
        </w:rPr>
        <w:t xml:space="preserve"> OWL’s real estate product ORENT is “a very, very successful thriving net fundraiser in the wealth channel,” and its institutional triple net lease product is “headed toward its hard cap.” </w:t>
      </w:r>
      <w:r>
        <w:rPr>
          <w:rFonts w:ascii="Calibri" w:hAnsi="Calibri"/>
          <w:b/>
          <w:i/>
          <w:color w:val="525866"/>
          <w:sz w:val="22"/>
        </w:rPr>
        <w:t xml:space="preserve">BX Read-Through: </w:t>
      </w:r>
      <w:r>
        <w:rPr>
          <w:rFonts w:ascii="Calibri" w:hAnsi="Calibri"/>
          <w:i/>
          <w:color w:val="525866"/>
          <w:sz w:val="22"/>
        </w:rPr>
        <w:t>Positive — confirms that real estate wealth products are outperforming credit products; consistent with BREIT’s improving trajectory (positive net inflows for 2 consecutive months as of Q1).</w:t>
      </w:r>
    </w:p>
    <w:p>
      <w:pPr>
        <w:pStyle w:val="ListBullet"/>
        <w:ind w:left="360" w:hanging="360"/>
      </w:pPr>
      <w:r>
        <w:rPr>
          <w:rFonts w:ascii="Calibri" w:hAnsi="Calibri"/>
          <w:b/>
          <w:color w:val="525866"/>
          <w:sz w:val="22"/>
        </w:rPr>
        <w:t>Ares (ARES) — Goldman Sachs European Financials Conference, June 3, 2026:</w:t>
      </w:r>
      <w:r>
        <w:rPr>
          <w:rFonts w:ascii="Calibri" w:hAnsi="Calibri"/>
          <w:color w:val="525866"/>
          <w:sz w:val="22"/>
        </w:rPr>
        <w:t xml:space="preserve"> Ares noted strong inflows into its non-traded REIT on the back of “very, very strong performance.” </w:t>
      </w:r>
      <w:r>
        <w:rPr>
          <w:rFonts w:ascii="Calibri" w:hAnsi="Calibri"/>
          <w:b/>
          <w:i/>
          <w:color w:val="525866"/>
          <w:sz w:val="22"/>
        </w:rPr>
        <w:t xml:space="preserve">BX Read-Through: </w:t>
      </w:r>
      <w:r>
        <w:rPr>
          <w:rFonts w:ascii="Calibri" w:hAnsi="Calibri"/>
          <w:i/>
          <w:color w:val="525866"/>
          <w:sz w:val="22"/>
        </w:rPr>
        <w:t>Positive — confirms real estate wealth products are recovering; BREIT’s performance-driven recovery thesis is playing out across the sector.</w:t>
      </w:r>
    </w:p>
    <w:p>
      <w:pPr>
        <w:pStyle w:val="ListBullet"/>
        <w:ind w:left="360" w:hanging="360"/>
      </w:pPr>
      <w:r>
        <w:rPr>
          <w:rFonts w:ascii="Calibri" w:hAnsi="Calibri"/>
          <w:b/>
          <w:color w:val="525866"/>
          <w:sz w:val="22"/>
        </w:rPr>
        <w:t>TPG — Morgan Stanley Conference, June 9, 2026:</w:t>
      </w:r>
      <w:r>
        <w:rPr>
          <w:rFonts w:ascii="Calibri" w:hAnsi="Calibri"/>
          <w:color w:val="525866"/>
          <w:sz w:val="22"/>
        </w:rPr>
        <w:t xml:space="preserve"> Sisitsky stated 2026 is an “important year for real estate” and anticipates a “meaningful step-up” for its next TREP fund. TPG Angelo Gordon is also eyeing a Tokyo hotel sale to Japan Hotel REIT for ~$858M (July 22, 2026). </w:t>
      </w:r>
      <w:r>
        <w:rPr>
          <w:rFonts w:ascii="Calibri" w:hAnsi="Calibri"/>
          <w:b/>
          <w:i/>
          <w:color w:val="525866"/>
          <w:sz w:val="22"/>
        </w:rPr>
        <w:t xml:space="preserve">BX Read-Through: </w:t>
      </w:r>
      <w:r>
        <w:rPr>
          <w:rFonts w:ascii="Calibri" w:hAnsi="Calibri"/>
          <w:i/>
          <w:color w:val="525866"/>
          <w:sz w:val="22"/>
        </w:rPr>
        <w:t>Positive — confirms real estate transaction activity is picking up; consistent with BX’s “sleeper” real estate recovery thesis.</w:t>
      </w:r>
    </w:p>
    <w:p>
      <w:pPr>
        <w:pStyle w:val="Heading3"/>
      </w:pPr>
      <w:r>
        <w:rPr>
          <w:rFonts w:ascii="Calibri" w:hAnsi="Calibri"/>
          <w:b/>
          <w:color w:val="3B4259"/>
          <w:sz w:val="24"/>
        </w:rPr>
        <w:t>8.6 Credit Quality</w:t>
      </w:r>
    </w:p>
    <w:p>
      <w:pPr>
        <w:pStyle w:val="ListBullet"/>
        <w:ind w:left="360" w:hanging="360"/>
      </w:pPr>
      <w:r>
        <w:rPr>
          <w:rFonts w:ascii="Calibri" w:hAnsi="Calibri"/>
          <w:b/>
          <w:color w:val="525866"/>
          <w:sz w:val="22"/>
        </w:rPr>
        <w:t>Blue Owl (OWL) — Bernstein Conference, May 29, 2026:</w:t>
      </w:r>
      <w:r>
        <w:rPr>
          <w:rFonts w:ascii="Calibri" w:hAnsi="Calibri"/>
          <w:color w:val="525866"/>
          <w:sz w:val="22"/>
        </w:rPr>
        <w:t xml:space="preserve"> Lipschultz affirmed “credit quality remains really high,” with zero new nonaccruals in Q1 and nonaccruals “way below 1% in CIC.” </w:t>
      </w:r>
      <w:r>
        <w:rPr>
          <w:rFonts w:ascii="Calibri" w:hAnsi="Calibri"/>
          <w:b/>
          <w:i/>
          <w:color w:val="525866"/>
          <w:sz w:val="22"/>
        </w:rPr>
        <w:t xml:space="preserve">BX Read-Through: </w:t>
      </w:r>
      <w:r>
        <w:rPr>
          <w:rFonts w:ascii="Calibri" w:hAnsi="Calibri"/>
          <w:i/>
          <w:color w:val="525866"/>
          <w:sz w:val="22"/>
        </w:rPr>
        <w:t>Positive — sector-wide credit quality remains healthy, consistent with BX’s own BCRED fundamentals (EBITDA up double digits, debt service coverage ratios up 20%).</w:t>
      </w:r>
    </w:p>
    <w:p>
      <w:pPr>
        <w:pStyle w:val="ListBullet"/>
        <w:ind w:left="360" w:hanging="360"/>
      </w:pPr>
      <w:r>
        <w:rPr>
          <w:rFonts w:ascii="Calibri" w:hAnsi="Calibri"/>
          <w:b/>
          <w:color w:val="525866"/>
          <w:sz w:val="22"/>
        </w:rPr>
        <w:t>Ares (ARES) — Goldman Sachs European Financials Conference, June 3, 2026:</w:t>
      </w:r>
      <w:r>
        <w:rPr>
          <w:rFonts w:ascii="Calibri" w:hAnsi="Calibri"/>
          <w:color w:val="525866"/>
          <w:sz w:val="22"/>
        </w:rPr>
        <w:t xml:space="preserve"> Jacobson stated non-accruals are “still fairly benign” and “below historical averages,” with portfolio companies growing “high single digits, low double digits.” </w:t>
      </w:r>
      <w:r>
        <w:rPr>
          <w:rFonts w:ascii="Calibri" w:hAnsi="Calibri"/>
          <w:b/>
          <w:i/>
          <w:color w:val="525866"/>
          <w:sz w:val="22"/>
        </w:rPr>
        <w:t xml:space="preserve">BX Read-Through: </w:t>
      </w:r>
      <w:r>
        <w:rPr>
          <w:rFonts w:ascii="Calibri" w:hAnsi="Calibri"/>
          <w:i/>
          <w:color w:val="525866"/>
          <w:sz w:val="22"/>
        </w:rPr>
        <w:t>Positive — validates BX’s dismissal of private credit doom narratives; underlying credit quality is strong across the sector.</w:t>
      </w:r>
    </w:p>
    <w:p>
      <w:pPr>
        <w:pStyle w:val="ListBullet"/>
        <w:ind w:left="360" w:hanging="360"/>
      </w:pPr>
      <w:r>
        <w:rPr>
          <w:rFonts w:ascii="Calibri" w:hAnsi="Calibri"/>
          <w:b/>
          <w:color w:val="525866"/>
          <w:sz w:val="22"/>
        </w:rPr>
        <w:t>Carlyle (CG) — Morgan Stanley Conference, June 10, 2026:</w:t>
      </w:r>
      <w:r>
        <w:rPr>
          <w:rFonts w:ascii="Calibri" w:hAnsi="Calibri"/>
          <w:color w:val="525866"/>
          <w:sz w:val="22"/>
        </w:rPr>
        <w:t xml:space="preserve"> Plaehn stated “we don’t see things like waves of defaults” and portfolio companies are “generally still performing well.” </w:t>
      </w:r>
      <w:r>
        <w:rPr>
          <w:rFonts w:ascii="Calibri" w:hAnsi="Calibri"/>
          <w:b/>
          <w:i/>
          <w:color w:val="525866"/>
          <w:sz w:val="22"/>
        </w:rPr>
        <w:t xml:space="preserve">BX Read-Through: </w:t>
      </w:r>
      <w:r>
        <w:rPr>
          <w:rFonts w:ascii="Calibri" w:hAnsi="Calibri"/>
          <w:i/>
          <w:color w:val="525866"/>
          <w:sz w:val="22"/>
        </w:rPr>
        <w:t>Positive — consistent with BX’s view that private credit critics will be “disappointed.”</w:t>
      </w:r>
    </w:p>
    <w:p>
      <w:pPr>
        <w:pStyle w:val="ListBullet"/>
        <w:ind w:left="360" w:hanging="360"/>
      </w:pPr>
      <w:r>
        <w:rPr>
          <w:rFonts w:ascii="Calibri" w:hAnsi="Calibri"/>
          <w:b/>
          <w:color w:val="525866"/>
          <w:sz w:val="22"/>
        </w:rPr>
        <w:t>Apollo (APO) — Bernstein Conference, May 28, 2026 (James Zelter):</w:t>
      </w:r>
      <w:r>
        <w:rPr>
          <w:rFonts w:ascii="Calibri" w:hAnsi="Calibri"/>
          <w:color w:val="525866"/>
          <w:sz w:val="22"/>
        </w:rPr>
        <w:t xml:space="preserve"> Zelter was an outlier, stating he “suspects the disruption will cause a variety of defaults across high-yield, BSLs and direct lending” and that the 5-year default trend is likely to be above the 30-year average of ~3–3.5%. </w:t>
      </w:r>
      <w:r>
        <w:rPr>
          <w:rFonts w:ascii="Calibri" w:hAnsi="Calibri"/>
          <w:b/>
          <w:i/>
          <w:color w:val="525866"/>
          <w:sz w:val="22"/>
        </w:rPr>
        <w:t xml:space="preserve">BX Read-Through: </w:t>
      </w:r>
      <w:r>
        <w:rPr>
          <w:rFonts w:ascii="Calibri" w:hAnsi="Calibri"/>
          <w:i/>
          <w:color w:val="525866"/>
          <w:sz w:val="22"/>
        </w:rPr>
        <w:t>Cautionary — APO’s more bearish credit quality view is the key sector-level risk to monitor; if defaults rise, BX’s BCRED and private credit platform could face mark-to-market pressure.</w:t>
      </w:r>
    </w:p>
    <w:p>
      <w:pPr>
        <w:pStyle w:val="Heading3"/>
      </w:pPr>
      <w:r>
        <w:rPr>
          <w:rFonts w:ascii="Calibri" w:hAnsi="Calibri"/>
          <w:b/>
          <w:color w:val="3B4259"/>
          <w:sz w:val="24"/>
        </w:rPr>
        <w:t>8.7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Source / Date</w:t>
            </w:r>
          </w:p>
        </w:tc>
        <w:tc>
          <w:tcPr>
            <w:tcW w:type="dxa" w:w="1728"/>
            <w:shd w:val="clear" w:color="auto" w:fill="3B4259"/>
          </w:tcPr>
          <w:p>
            <w:r>
              <w:rPr>
                <w:rFonts w:ascii="Calibri" w:hAnsi="Calibri"/>
                <w:b/>
                <w:color w:val="FFFFFF"/>
                <w:sz w:val="22"/>
              </w:rPr>
              <w:t>Key Q2 Signal</w:t>
            </w:r>
          </w:p>
        </w:tc>
        <w:tc>
          <w:tcPr>
            <w:tcW w:type="dxa" w:w="1728"/>
            <w:shd w:val="clear" w:color="auto" w:fill="3B4259"/>
          </w:tcPr>
          <w:p>
            <w:r>
              <w:rPr>
                <w:rFonts w:ascii="Calibri" w:hAnsi="Calibri"/>
                <w:b/>
                <w:color w:val="FFFFFF"/>
                <w:sz w:val="22"/>
              </w:rPr>
              <w:t>BX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ARES</w:t>
            </w:r>
          </w:p>
        </w:tc>
        <w:tc>
          <w:tcPr>
            <w:tcW w:type="dxa" w:w="1728"/>
          </w:tcPr>
          <w:p>
            <w:r>
              <w:rPr>
                <w:rFonts w:ascii="Calibri" w:hAnsi="Calibri"/>
                <w:sz w:val="22"/>
              </w:rPr>
              <w:t>8-K, Jul 9, 2026</w:t>
            </w:r>
          </w:p>
        </w:tc>
        <w:tc>
          <w:tcPr>
            <w:tcW w:type="dxa" w:w="1728"/>
          </w:tcPr>
          <w:p>
            <w:r>
              <w:rPr>
                <w:rFonts w:ascii="Calibri" w:hAnsi="Calibri"/>
                <w:sz w:val="22"/>
              </w:rPr>
              <w:t>Q2 performance income &gt;$50M</w:t>
            </w:r>
          </w:p>
        </w:tc>
        <w:tc>
          <w:tcPr>
            <w:tcW w:type="dxa" w:w="1728"/>
          </w:tcPr>
          <w:p>
            <w:r>
              <w:rPr>
                <w:rFonts w:ascii="Calibri" w:hAnsi="Calibri"/>
                <w:sz w:val="22"/>
              </w:rPr>
              <w:t>Sector realization environment positive in Q2</w:t>
            </w:r>
          </w:p>
        </w:tc>
        <w:tc>
          <w:tcPr>
            <w:tcW w:type="dxa" w:w="1728"/>
          </w:tcPr>
          <w:p>
            <w:r>
              <w:rPr>
                <w:rFonts w:ascii="Calibri" w:hAnsi="Calibri"/>
                <w:b/>
                <w:color w:val="30A46C"/>
                <w:sz w:val="22"/>
              </w:rPr>
              <w:t>Positive</w:t>
            </w:r>
          </w:p>
        </w:tc>
      </w:tr>
      <w:tr>
        <w:tc>
          <w:tcPr>
            <w:tcW w:type="dxa" w:w="1728"/>
          </w:tcPr>
          <w:p>
            <w:r>
              <w:rPr>
                <w:rFonts w:ascii="Calibri" w:hAnsi="Calibri"/>
                <w:sz w:val="22"/>
              </w:rPr>
              <w:t>OWL</w:t>
            </w:r>
          </w:p>
        </w:tc>
        <w:tc>
          <w:tcPr>
            <w:tcW w:type="dxa" w:w="1728"/>
          </w:tcPr>
          <w:p>
            <w:r>
              <w:rPr>
                <w:rFonts w:ascii="Calibri" w:hAnsi="Calibri"/>
                <w:sz w:val="22"/>
              </w:rPr>
              <w:t>News, Jul 2, 2026</w:t>
            </w:r>
          </w:p>
        </w:tc>
        <w:tc>
          <w:tcPr>
            <w:tcW w:type="dxa" w:w="1728"/>
          </w:tcPr>
          <w:p>
            <w:r>
              <w:rPr>
                <w:rFonts w:ascii="Calibri" w:hAnsi="Calibri"/>
                <w:sz w:val="22"/>
              </w:rPr>
              <w:t>Q2 redemption requests eased to $4.7B; analyst says redemptions may have peaked</w:t>
            </w:r>
          </w:p>
        </w:tc>
        <w:tc>
          <w:tcPr>
            <w:tcW w:type="dxa" w:w="1728"/>
          </w:tcPr>
          <w:p>
            <w:r>
              <w:rPr>
                <w:rFonts w:ascii="Calibri" w:hAnsi="Calibri"/>
                <w:sz w:val="22"/>
              </w:rPr>
              <w:t>BCRED net outflows likely smaller in Q2 vs. Q1’s $1.4B</w:t>
            </w:r>
          </w:p>
        </w:tc>
        <w:tc>
          <w:tcPr>
            <w:tcW w:type="dxa" w:w="1728"/>
          </w:tcPr>
          <w:p>
            <w:r>
              <w:rPr>
                <w:rFonts w:ascii="Calibri" w:hAnsi="Calibri"/>
                <w:b/>
                <w:color w:val="30A46C"/>
                <w:sz w:val="22"/>
              </w:rPr>
              <w:t>Positive</w:t>
            </w:r>
          </w:p>
        </w:tc>
      </w:tr>
      <w:tr>
        <w:tc>
          <w:tcPr>
            <w:tcW w:type="dxa" w:w="1728"/>
          </w:tcPr>
          <w:p>
            <w:r>
              <w:rPr>
                <w:rFonts w:ascii="Calibri" w:hAnsi="Calibri"/>
                <w:sz w:val="22"/>
              </w:rPr>
              <w:t>ARES</w:t>
            </w:r>
          </w:p>
        </w:tc>
        <w:tc>
          <w:tcPr>
            <w:tcW w:type="dxa" w:w="1728"/>
          </w:tcPr>
          <w:p>
            <w:r>
              <w:rPr>
                <w:rFonts w:ascii="Calibri" w:hAnsi="Calibri"/>
                <w:sz w:val="22"/>
              </w:rPr>
              <w:t>News, Jun 25, 2026</w:t>
            </w:r>
          </w:p>
        </w:tc>
        <w:tc>
          <w:tcPr>
            <w:tcW w:type="dxa" w:w="1728"/>
          </w:tcPr>
          <w:p>
            <w:r>
              <w:rPr>
                <w:rFonts w:ascii="Calibri" w:hAnsi="Calibri"/>
                <w:sz w:val="22"/>
              </w:rPr>
              <w:t>Capped private credit fund redemptions for 2nd time; 14% seeking exits</w:t>
            </w:r>
          </w:p>
        </w:tc>
        <w:tc>
          <w:tcPr>
            <w:tcW w:type="dxa" w:w="1728"/>
          </w:tcPr>
          <w:p>
            <w:r>
              <w:rPr>
                <w:rFonts w:ascii="Calibri" w:hAnsi="Calibri"/>
                <w:sz w:val="22"/>
              </w:rPr>
              <w:t>Confirms ongoing wealth channel credit pressure; BX not capping = relative strength</w:t>
            </w:r>
          </w:p>
        </w:tc>
        <w:tc>
          <w:tcPr>
            <w:tcW w:type="dxa" w:w="1728"/>
          </w:tcPr>
          <w:p>
            <w:r>
              <w:rPr>
                <w:rFonts w:ascii="Calibri" w:hAnsi="Calibri"/>
                <w:b/>
                <w:color w:val="002FA7"/>
                <w:sz w:val="22"/>
              </w:rPr>
              <w:t>Mixed</w:t>
            </w:r>
          </w:p>
        </w:tc>
      </w:tr>
      <w:tr>
        <w:tc>
          <w:tcPr>
            <w:tcW w:type="dxa" w:w="1728"/>
          </w:tcPr>
          <w:p>
            <w:r>
              <w:rPr>
                <w:rFonts w:ascii="Calibri" w:hAnsi="Calibri"/>
                <w:sz w:val="22"/>
              </w:rPr>
              <w:t>KKR</w:t>
            </w:r>
          </w:p>
        </w:tc>
        <w:tc>
          <w:tcPr>
            <w:tcW w:type="dxa" w:w="1728"/>
          </w:tcPr>
          <w:p>
            <w:r>
              <w:rPr>
                <w:rFonts w:ascii="Calibri" w:hAnsi="Calibri"/>
                <w:sz w:val="22"/>
              </w:rPr>
              <w:t>Bernstein, May 27, 2026</w:t>
            </w:r>
          </w:p>
        </w:tc>
        <w:tc>
          <w:tcPr>
            <w:tcW w:type="dxa" w:w="1728"/>
          </w:tcPr>
          <w:p>
            <w:r>
              <w:rPr>
                <w:rFonts w:ascii="Calibri" w:hAnsi="Calibri"/>
                <w:sz w:val="22"/>
              </w:rPr>
              <w:t>Record $127B raised in LTM; record monetization visibility; wealth up 80% YoY</w:t>
            </w:r>
          </w:p>
        </w:tc>
        <w:tc>
          <w:tcPr>
            <w:tcW w:type="dxa" w:w="1728"/>
          </w:tcPr>
          <w:p>
            <w:r>
              <w:rPr>
                <w:rFonts w:ascii="Calibri" w:hAnsi="Calibri"/>
                <w:sz w:val="22"/>
              </w:rPr>
              <w:t>Institutional demand robust; exit environment favorable</w:t>
            </w:r>
          </w:p>
        </w:tc>
        <w:tc>
          <w:tcPr>
            <w:tcW w:type="dxa" w:w="1728"/>
          </w:tcPr>
          <w:p>
            <w:r>
              <w:rPr>
                <w:rFonts w:ascii="Calibri" w:hAnsi="Calibri"/>
                <w:b/>
                <w:color w:val="30A46C"/>
                <w:sz w:val="22"/>
              </w:rPr>
              <w:t>Positive</w:t>
            </w:r>
          </w:p>
        </w:tc>
      </w:tr>
      <w:tr>
        <w:tc>
          <w:tcPr>
            <w:tcW w:type="dxa" w:w="1728"/>
          </w:tcPr>
          <w:p>
            <w:r>
              <w:rPr>
                <w:rFonts w:ascii="Calibri" w:hAnsi="Calibri"/>
                <w:sz w:val="22"/>
              </w:rPr>
              <w:t>APO</w:t>
            </w:r>
          </w:p>
        </w:tc>
        <w:tc>
          <w:tcPr>
            <w:tcW w:type="dxa" w:w="1728"/>
          </w:tcPr>
          <w:p>
            <w:r>
              <w:rPr>
                <w:rFonts w:ascii="Calibri" w:hAnsi="Calibri"/>
                <w:sz w:val="22"/>
              </w:rPr>
              <w:t>Bernstein, May 28, 2026</w:t>
            </w:r>
          </w:p>
        </w:tc>
        <w:tc>
          <w:tcPr>
            <w:tcW w:type="dxa" w:w="1728"/>
          </w:tcPr>
          <w:p>
            <w:r>
              <w:rPr>
                <w:rFonts w:ascii="Calibri" w:hAnsi="Calibri"/>
                <w:sz w:val="22"/>
              </w:rPr>
              <w:t>Elevated BDC redemptions to continue 2–3 more quarters; expects defaults to rise</w:t>
            </w:r>
          </w:p>
        </w:tc>
        <w:tc>
          <w:tcPr>
            <w:tcW w:type="dxa" w:w="1728"/>
          </w:tcPr>
          <w:p>
            <w:r>
              <w:rPr>
                <w:rFonts w:ascii="Calibri" w:hAnsi="Calibri"/>
                <w:sz w:val="22"/>
              </w:rPr>
              <w:t>Cautionary on credit quality; BCRED redemption pressure may persist longer than hoped</w:t>
            </w:r>
          </w:p>
        </w:tc>
        <w:tc>
          <w:tcPr>
            <w:tcW w:type="dxa" w:w="1728"/>
          </w:tcPr>
          <w:p>
            <w:r>
              <w:rPr>
                <w:rFonts w:ascii="Calibri" w:hAnsi="Calibri"/>
                <w:b/>
                <w:color w:val="E5484D"/>
                <w:sz w:val="22"/>
              </w:rPr>
              <w:t>Cautionary</w:t>
            </w:r>
          </w:p>
        </w:tc>
      </w:tr>
      <w:tr>
        <w:tc>
          <w:tcPr>
            <w:tcW w:type="dxa" w:w="1728"/>
          </w:tcPr>
          <w:p>
            <w:r>
              <w:rPr>
                <w:rFonts w:ascii="Calibri" w:hAnsi="Calibri"/>
                <w:sz w:val="22"/>
              </w:rPr>
              <w:t>OWL</w:t>
            </w:r>
          </w:p>
        </w:tc>
        <w:tc>
          <w:tcPr>
            <w:tcW w:type="dxa" w:w="1728"/>
          </w:tcPr>
          <w:p>
            <w:r>
              <w:rPr>
                <w:rFonts w:ascii="Calibri" w:hAnsi="Calibri"/>
                <w:sz w:val="22"/>
              </w:rPr>
              <w:t>Bernstein, May 29, 2026</w:t>
            </w:r>
          </w:p>
        </w:tc>
        <w:tc>
          <w:tcPr>
            <w:tcW w:type="dxa" w:w="1728"/>
          </w:tcPr>
          <w:p>
            <w:r>
              <w:rPr>
                <w:rFonts w:ascii="Calibri" w:hAnsi="Calibri"/>
                <w:sz w:val="22"/>
              </w:rPr>
              <w:t>Direct lending fundraising clearly down in Q2; real assets thriving; $100B digital infra pipeline</w:t>
            </w:r>
          </w:p>
        </w:tc>
        <w:tc>
          <w:tcPr>
            <w:tcW w:type="dxa" w:w="1728"/>
          </w:tcPr>
          <w:p>
            <w:r>
              <w:rPr>
                <w:rFonts w:ascii="Calibri" w:hAnsi="Calibri"/>
                <w:sz w:val="22"/>
              </w:rPr>
              <w:t>Confirms credit/real asset bifurcation; AI infra deployment strong</w:t>
            </w:r>
          </w:p>
        </w:tc>
        <w:tc>
          <w:tcPr>
            <w:tcW w:type="dxa" w:w="1728"/>
          </w:tcPr>
          <w:p>
            <w:r>
              <w:rPr>
                <w:rFonts w:ascii="Calibri" w:hAnsi="Calibri"/>
                <w:b/>
                <w:color w:val="002FA7"/>
                <w:sz w:val="22"/>
              </w:rPr>
              <w:t>Mixed</w:t>
            </w:r>
          </w:p>
        </w:tc>
      </w:tr>
      <w:tr>
        <w:tc>
          <w:tcPr>
            <w:tcW w:type="dxa" w:w="1728"/>
          </w:tcPr>
          <w:p>
            <w:r>
              <w:rPr>
                <w:rFonts w:ascii="Calibri" w:hAnsi="Calibri"/>
                <w:sz w:val="22"/>
              </w:rPr>
              <w:t>ARES</w:t>
            </w:r>
          </w:p>
        </w:tc>
        <w:tc>
          <w:tcPr>
            <w:tcW w:type="dxa" w:w="1728"/>
          </w:tcPr>
          <w:p>
            <w:r>
              <w:rPr>
                <w:rFonts w:ascii="Calibri" w:hAnsi="Calibri"/>
                <w:sz w:val="22"/>
              </w:rPr>
              <w:t>GS Conf., Jun 3, 2026</w:t>
            </w:r>
          </w:p>
        </w:tc>
        <w:tc>
          <w:tcPr>
            <w:tcW w:type="dxa" w:w="1728"/>
          </w:tcPr>
          <w:p>
            <w:r>
              <w:rPr>
                <w:rFonts w:ascii="Calibri" w:hAnsi="Calibri"/>
                <w:sz w:val="22"/>
              </w:rPr>
              <w:t>More Q2 redemptions expected; but infra fund saw $700M inflows in May; $900B data center opportunity</w:t>
            </w:r>
          </w:p>
        </w:tc>
        <w:tc>
          <w:tcPr>
            <w:tcW w:type="dxa" w:w="1728"/>
          </w:tcPr>
          <w:p>
            <w:r>
              <w:rPr>
                <w:rFonts w:ascii="Calibri" w:hAnsi="Calibri"/>
                <w:sz w:val="22"/>
              </w:rPr>
              <w:t>Confirms credit/infra bifurcation; AI infra opportunity validates BX’s data center thesis</w:t>
            </w:r>
          </w:p>
        </w:tc>
        <w:tc>
          <w:tcPr>
            <w:tcW w:type="dxa" w:w="1728"/>
          </w:tcPr>
          <w:p>
            <w:r>
              <w:rPr>
                <w:rFonts w:ascii="Calibri" w:hAnsi="Calibri"/>
                <w:b/>
                <w:color w:val="30A46C"/>
                <w:sz w:val="22"/>
              </w:rPr>
              <w:t>Mixed/Positive</w:t>
            </w:r>
          </w:p>
        </w:tc>
      </w:tr>
      <w:tr>
        <w:tc>
          <w:tcPr>
            <w:tcW w:type="dxa" w:w="1728"/>
          </w:tcPr>
          <w:p>
            <w:r>
              <w:rPr>
                <w:rFonts w:ascii="Calibri" w:hAnsi="Calibri"/>
                <w:sz w:val="22"/>
              </w:rPr>
              <w:t>TPG</w:t>
            </w:r>
          </w:p>
        </w:tc>
        <w:tc>
          <w:tcPr>
            <w:tcW w:type="dxa" w:w="1728"/>
          </w:tcPr>
          <w:p>
            <w:r>
              <w:rPr>
                <w:rFonts w:ascii="Calibri" w:hAnsi="Calibri"/>
                <w:sz w:val="22"/>
              </w:rPr>
              <w:t>MS Conf., Jun 9, 2026</w:t>
            </w:r>
          </w:p>
        </w:tc>
        <w:tc>
          <w:tcPr>
            <w:tcW w:type="dxa" w:w="1728"/>
          </w:tcPr>
          <w:p>
            <w:r>
              <w:rPr>
                <w:rFonts w:ascii="Calibri" w:hAnsi="Calibri"/>
                <w:sz w:val="22"/>
              </w:rPr>
              <w:t>TCAP redemptions only 2.1%; PE wealth product gaining traction; H2 liquidity expected</w:t>
            </w:r>
          </w:p>
        </w:tc>
        <w:tc>
          <w:tcPr>
            <w:tcW w:type="dxa" w:w="1728"/>
          </w:tcPr>
          <w:p>
            <w:r>
              <w:rPr>
                <w:rFonts w:ascii="Calibri" w:hAnsi="Calibri"/>
                <w:sz w:val="22"/>
              </w:rPr>
              <w:t>PE wealth products outperforming credit; H2 realization thesis intact</w:t>
            </w:r>
          </w:p>
        </w:tc>
        <w:tc>
          <w:tcPr>
            <w:tcW w:type="dxa" w:w="1728"/>
          </w:tcPr>
          <w:p>
            <w:r>
              <w:rPr>
                <w:rFonts w:ascii="Calibri" w:hAnsi="Calibri"/>
                <w:b/>
                <w:color w:val="30A46C"/>
                <w:sz w:val="22"/>
              </w:rPr>
              <w:t>Positive</w:t>
            </w:r>
          </w:p>
        </w:tc>
      </w:tr>
      <w:tr>
        <w:tc>
          <w:tcPr>
            <w:tcW w:type="dxa" w:w="1728"/>
          </w:tcPr>
          <w:p>
            <w:r>
              <w:rPr>
                <w:rFonts w:ascii="Calibri" w:hAnsi="Calibri"/>
                <w:sz w:val="22"/>
              </w:rPr>
              <w:t>CG</w:t>
            </w:r>
          </w:p>
        </w:tc>
        <w:tc>
          <w:tcPr>
            <w:tcW w:type="dxa" w:w="1728"/>
          </w:tcPr>
          <w:p>
            <w:r>
              <w:rPr>
                <w:rFonts w:ascii="Calibri" w:hAnsi="Calibri"/>
                <w:sz w:val="22"/>
              </w:rPr>
              <w:t>MS Conf., Jun 10, 2026</w:t>
            </w:r>
          </w:p>
        </w:tc>
        <w:tc>
          <w:tcPr>
            <w:tcW w:type="dxa" w:w="1728"/>
          </w:tcPr>
          <w:p>
            <w:r>
              <w:rPr>
                <w:rFonts w:ascii="Calibri" w:hAnsi="Calibri"/>
                <w:sz w:val="22"/>
              </w:rPr>
              <w:t>Private credit wealth channel “bumpy”; super cycle for institutional fundraising; realizations building</w:t>
            </w:r>
          </w:p>
        </w:tc>
        <w:tc>
          <w:tcPr>
            <w:tcW w:type="dxa" w:w="1728"/>
          </w:tcPr>
          <w:p>
            <w:r>
              <w:rPr>
                <w:rFonts w:ascii="Calibri" w:hAnsi="Calibri"/>
                <w:sz w:val="22"/>
              </w:rPr>
              <w:t>Consistent with BX’s narrative; institutional strength offsets wealth channel softness</w:t>
            </w:r>
          </w:p>
        </w:tc>
        <w:tc>
          <w:tcPr>
            <w:tcW w:type="dxa" w:w="1728"/>
          </w:tcPr>
          <w:p>
            <w:r>
              <w:rPr>
                <w:rFonts w:ascii="Calibri" w:hAnsi="Calibri"/>
                <w:b/>
                <w:color w:val="30A46C"/>
                <w:sz w:val="22"/>
              </w:rPr>
              <w:t>Neutral/Positive</w:t>
            </w:r>
          </w:p>
        </w:tc>
      </w:tr>
      <w:tr>
        <w:tc>
          <w:tcPr>
            <w:tcW w:type="dxa" w:w="1728"/>
          </w:tcPr>
          <w:p>
            <w:r>
              <w:rPr>
                <w:rFonts w:ascii="Calibri" w:hAnsi="Calibri"/>
                <w:sz w:val="22"/>
              </w:rPr>
              <w:t>KKR</w:t>
            </w:r>
          </w:p>
        </w:tc>
        <w:tc>
          <w:tcPr>
            <w:tcW w:type="dxa" w:w="1728"/>
          </w:tcPr>
          <w:p>
            <w:r>
              <w:rPr>
                <w:rFonts w:ascii="Calibri" w:hAnsi="Calibri"/>
                <w:sz w:val="22"/>
              </w:rPr>
              <w:t>News, Jun 11, 2026</w:t>
            </w:r>
          </w:p>
        </w:tc>
        <w:tc>
          <w:tcPr>
            <w:tcW w:type="dxa" w:w="1728"/>
          </w:tcPr>
          <w:p>
            <w:r>
              <w:rPr>
                <w:rFonts w:ascii="Calibri" w:hAnsi="Calibri"/>
                <w:sz w:val="22"/>
              </w:rPr>
              <w:t>Launched $10B Helix Digital Infrastructure with Nvidia and Vistra</w:t>
            </w:r>
          </w:p>
        </w:tc>
        <w:tc>
          <w:tcPr>
            <w:tcW w:type="dxa" w:w="1728"/>
          </w:tcPr>
          <w:p>
            <w:r>
              <w:rPr>
                <w:rFonts w:ascii="Calibri" w:hAnsi="Calibri"/>
                <w:sz w:val="22"/>
              </w:rPr>
              <w:t>Confirms AI infra buildout accelerating; BX’s Nio Cloud/Google JV is comparable</w:t>
            </w:r>
          </w:p>
        </w:tc>
        <w:tc>
          <w:tcPr>
            <w:tcW w:type="dxa" w:w="1728"/>
          </w:tcPr>
          <w:p>
            <w:r>
              <w:rPr>
                <w:rFonts w:ascii="Calibri" w:hAnsi="Calibri"/>
                <w:b/>
                <w:color w:val="30A46C"/>
                <w:sz w:val="22"/>
              </w:rPr>
              <w:t>Positive</w:t>
            </w:r>
          </w:p>
        </w:tc>
      </w:tr>
    </w:tbl>
    <w:p>
      <w:r>
        <w:rPr>
          <w:rFonts w:ascii="Calibri" w:hAnsi="Calibri"/>
          <w:i/>
          <w:color w:val="525866"/>
          <w:sz w:val="22"/>
        </w:rPr>
        <w:t>Sources: Conference call transcripts (Bernstein Strategic Decisions Conference May 27–29, 2026; Goldman Sachs European Financials Conference June 3, 2026; Morgan Stanley U.S. Financials Conference June 9–10, 2026); ARES 8-K July 9, 2026; OWL news Reuters/Barron’s July 2, 2026; ARES news Barron’s June 25, 2026; KKR news WSJ June 11, 2026.</w:t>
      </w:r>
    </w:p>
    <w:p>
      <w:pPr>
        <w:pStyle w:val="Heading2"/>
      </w:pPr>
      <w:r>
        <w:rPr>
          <w:rFonts w:ascii="Calibri" w:hAnsi="Calibri"/>
          <w:b/>
          <w:color w:val="3B4259"/>
          <w:sz w:val="28"/>
        </w:rPr>
        <w:t>Appendix: Key Risks to the Preview</w:t>
      </w:r>
    </w:p>
    <w:p>
      <w:pPr>
        <w:pStyle w:val="ListBullet"/>
        <w:ind w:left="360" w:hanging="360"/>
      </w:pPr>
      <w:r>
        <w:rPr>
          <w:rFonts w:ascii="Calibri" w:hAnsi="Calibri"/>
          <w:b/>
          <w:color w:val="525866"/>
          <w:sz w:val="22"/>
        </w:rPr>
        <w:t>Realization timing risk:</w:t>
      </w:r>
      <w:r>
        <w:rPr>
          <w:rFonts w:ascii="Calibri" w:hAnsi="Calibri"/>
          <w:color w:val="525866"/>
          <w:sz w:val="22"/>
        </w:rPr>
        <w:t xml:space="preserve"> The June 23 pre-announcement covers only through June 23; if the final week of June saw no additional exits, the full-quarter number may be only modestly above the June 23 figure. The pre-announcement explicitly excluded post-June 23 activity.</w:t>
      </w:r>
    </w:p>
    <w:p>
      <w:pPr>
        <w:pStyle w:val="ListBullet"/>
        <w:ind w:left="360" w:hanging="360"/>
      </w:pPr>
      <w:r>
        <w:rPr>
          <w:rFonts w:ascii="Calibri" w:hAnsi="Calibri"/>
          <w:b/>
          <w:color w:val="525866"/>
          <w:sz w:val="22"/>
        </w:rPr>
        <w:t>BCRED net outflows:</w:t>
      </w:r>
      <w:r>
        <w:rPr>
          <w:rFonts w:ascii="Calibri" w:hAnsi="Calibri"/>
          <w:color w:val="525866"/>
          <w:sz w:val="22"/>
        </w:rPr>
        <w:t xml:space="preserve"> If Q2 BCRED net outflows are larger than Q1’s $1.4B despite the June 1 recovery signal, it could weigh on sentiment even if headline DE EPS beats.</w:t>
      </w:r>
    </w:p>
    <w:p>
      <w:pPr>
        <w:pStyle w:val="ListBullet"/>
        <w:ind w:left="360" w:hanging="360"/>
      </w:pPr>
      <w:r>
        <w:rPr>
          <w:rFonts w:ascii="Calibri" w:hAnsi="Calibri"/>
          <w:b/>
          <w:color w:val="525866"/>
          <w:sz w:val="22"/>
        </w:rPr>
        <w:t>Dividend disappointment risk:</w:t>
      </w:r>
      <w:r>
        <w:rPr>
          <w:rFonts w:ascii="Calibri" w:hAnsi="Calibri"/>
          <w:color w:val="525866"/>
          <w:sz w:val="22"/>
        </w:rPr>
        <w:t xml:space="preserve"> Q1’s $1.16/share dividend was below prior quarter levels and contributed to the stock’s -5% reaction despite a beat. If Q2 dividend is again below expectations, the stock could react negatively even on a DE beat.</w:t>
      </w:r>
    </w:p>
    <w:p>
      <w:pPr>
        <w:pStyle w:val="ListBullet"/>
        <w:ind w:left="360" w:hanging="360"/>
      </w:pPr>
      <w:r>
        <w:rPr>
          <w:rFonts w:ascii="Calibri" w:hAnsi="Calibri"/>
          <w:b/>
          <w:color w:val="525866"/>
          <w:sz w:val="22"/>
        </w:rPr>
        <w:t>Geopolitical risk:</w:t>
      </w:r>
      <w:r>
        <w:rPr>
          <w:rFonts w:ascii="Calibri" w:hAnsi="Calibri"/>
          <w:color w:val="525866"/>
          <w:sz w:val="22"/>
        </w:rPr>
        <w:t xml:space="preserve"> Management’s H2 realization acceleration thesis is explicitly contingent on Middle East conflict resolution. If the Iran war escalates, the IPO pipeline and M&amp;A activity could be further delayed.</w:t>
      </w:r>
    </w:p>
    <w:p>
      <w:pPr>
        <w:pStyle w:val="ListBullet"/>
        <w:ind w:left="360" w:hanging="360"/>
      </w:pPr>
      <w:r>
        <w:rPr>
          <w:rFonts w:ascii="Calibri" w:hAnsi="Calibri"/>
          <w:b/>
          <w:color w:val="525866"/>
          <w:sz w:val="22"/>
        </w:rPr>
        <w:t>Software/AI disruption mark-to-market:</w:t>
      </w:r>
      <w:r>
        <w:rPr>
          <w:rFonts w:ascii="Calibri" w:hAnsi="Calibri"/>
          <w:color w:val="525866"/>
          <w:sz w:val="22"/>
        </w:rPr>
        <w:t xml:space="preserve"> BX’s software portfolio faces AI disruption risk and potential mark-to-market pressure, which could weigh on net accrued performance revenues.</w:t>
      </w:r>
    </w:p>
    <w:p>
      <w:pPr>
        <w:pStyle w:val="ListBullet"/>
        <w:ind w:left="360" w:hanging="360"/>
      </w:pPr>
      <w:r>
        <w:rPr>
          <w:rFonts w:ascii="Calibri" w:hAnsi="Calibri"/>
          <w:b/>
          <w:color w:val="525866"/>
          <w:sz w:val="22"/>
        </w:rPr>
        <w:t>Regulatory headwinds for data centers:</w:t>
      </w:r>
      <w:r>
        <w:rPr>
          <w:rFonts w:ascii="Calibri" w:hAnsi="Calibri"/>
          <w:color w:val="525866"/>
          <w:sz w:val="22"/>
        </w:rPr>
        <w:t xml:space="preserve"> The QTS Virginia project abandonment (July 15) highlights regulatory risk in the data center buildout; additional project delays could slow deployment and fee-earning AUM growth.</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