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-earnings-predictions--2026-07-21"/>
    <w:p>
      <w:pPr>
        <w:pStyle w:val="Heading1"/>
      </w:pPr>
      <w:r>
        <w:t xml:space="preserve">CB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 vs. cons $6.72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combined ratio (headline)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~86.7% vs. cons 85.9% (higher/worse on elevated Q2 SCS cat load)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investment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NII outlook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1.87B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P&amp;C NPW growth / property pricing commentary (2H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~+5% vs. cons ~+5.5% (2H 2026, large-account property softening caps growth)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Prior-period reserve development (Q2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250</m:t>
              </m:r>
              <m:r>
                <m:t>M</m:t>
              </m:r>
              <m:r>
                <m:t>f</m:t>
              </m:r>
              <m:r>
                <m:t>a</m:t>
              </m:r>
              <m:r>
                <m:t>v</m:t>
              </m:r>
              <m:r>
                <m:t>o</m:t>
              </m:r>
              <m:r>
                <m:t>r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250M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(Q2 2026, per quarter)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1.1B (per quarter, $7.5B authorization)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Likely another modest core-EPS/NII beat, but the quality is driven by investment income while the underwriting growth engine is slowing — large-account property is being deliberately non-renewed and financial lines remain soft. An active Q2 severe-convective-storm season (industry SCS &gt;$22B by mid-June) pressures the headline combined ratio above consensus. With the stock near 52-week highs, up ~14% YTD, having outperformed a falling S&amp;P into the print, and options pricing only ~2% move, valuation is full and the bar is high. Peer read-through (Progressive -9% on a beat; Travelers soft) shows P&amp;C names can sell off on strong prints when forward pricing/growth commentary disappoints. Out-period math (implicit growth cuts from property/financial-lines softening) pulls estimates down even after a headline beat, so an initial dip should extend/fade rather than recover over 5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2026-07-21T01:08:08Z</dcterms:created>
  <dcterms:modified xsi:type="dcterms:W3CDTF">2026-07-21T01:08:08Z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