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CB (Chubb Limited) before writing the preview. Let me gather recent earnings materials, filings, and news.Let me read the most recent quarter's materials and the year-ago Q2 for comparison.I have the Q1 2026 release. Now let me get the year-ago Q2 2025 release (comparison base), recent stock prices, and try the Q1 2026 transcript for management commentary.I have strong fundamentals. Let me try the Q1 2026 transcript for management's forward-looking commentary, and pull recent news.The transcript is timing out repeatedly. Let me gather Q2 2026 catastrophe/industry context and analyst expectations via web search instead.I have consensus estimates and context. Let me do one final check on the Q2 2026 catastrophe environment (a key swing factor for P&amp;C insurers).I now have everything I need. Here's the earnings preview.</w:t>
      </w:r>
    </w:p>
    <w:p>
      <w:r>
        <w:pict>
          <v:rect style="width:0;height:1.5pt" o:hralign="center" o:hrstd="t" o:hr="t"/>
        </w:pict>
      </w:r>
    </w:p>
    <w:bookmarkStart w:id="15" w:name="X41dde8aab98fde70f0e0217e9e1013b599c8791"/>
    <w:p>
      <w:pPr>
        <w:pStyle w:val="Heading1"/>
      </w:pPr>
      <w:r>
        <w:t xml:space="preserve">Chubb Limited (NYSE: CB) — Q2 2026 Earnings Preview</w:t>
      </w:r>
    </w:p>
    <w:p>
      <w:pPr>
        <w:pStyle w:val="FirstParagraph"/>
      </w:pPr>
      <w:r>
        <w:rPr>
          <w:b/>
          <w:bCs/>
        </w:rPr>
        <w:t xml:space="preserve">Report timing:</w:t>
      </w:r>
      <w:r>
        <w:t xml:space="preserve"> </w:t>
      </w:r>
      <w:r>
        <w:t xml:space="preserve">After market close, Tuesday, July 21, 2026 (conference call Wednesday, July 22, 8:30 a.m. ET)</w:t>
      </w:r>
      <w:r>
        <w:t xml:space="preserve"> </w:t>
      </w:r>
      <w:r>
        <w:rPr>
          <w:b/>
          <w:bCs/>
        </w:rPr>
        <w:t xml:space="preserve">Recent price (7/20/26):</w:t>
      </w:r>
      <w:r>
        <w:t xml:space="preserve"> </w:t>
      </w:r>
      <w:r>
        <w:t xml:space="preserve">~</w:t>
      </w:r>
      <m:oMath>
        <m:r>
          <m:t>352.57</m:t>
        </m:r>
        <m:r>
          <m:rPr>
            <m:sty m:val="p"/>
          </m:rPr>
          <m:t>|</m:t>
        </m:r>
        <m:r>
          <m:rPr>
            <m:sty m:val="p"/>
          </m:rPr>
          <m:t>*</m:t>
        </m:r>
        <m:r>
          <m:rPr>
            <m:sty m:val="p"/>
          </m:rPr>
          <m:t>*</m:t>
        </m:r>
        <m:r>
          <m:t>Y</m:t>
        </m:r>
        <m:r>
          <m:t>T</m:t>
        </m:r>
        <m:r>
          <m:t>D</m:t>
        </m:r>
        <m:r>
          <m:rPr>
            <m:sty m:val="p"/>
          </m:rPr>
          <m:t>:</m:t>
        </m:r>
        <m:r>
          <m:rPr>
            <m:sty m:val="p"/>
          </m:rPr>
          <m:t>*</m:t>
        </m:r>
        <m:r>
          <m:rPr>
            <m:sty m:val="p"/>
          </m:rPr>
          <m:t>*</m:t>
        </m:r>
        <m:r>
          <m:rPr>
            <m:sty m:val="p"/>
          </m:rPr>
          <m:t>+</m:t>
        </m:r>
        <m:r>
          <m:t> </m:t>
        </m:r>
        <m:r>
          <m:t>14</m:t>
        </m:r>
      </m:oMath>
      <w:r>
        <w:t xml:space="preserve">342–359)</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Chubb enters this print as the world's largest publicly traded P&amp;C insurer, riding a strong-but-decelerating growth story. The bull case is intact — record underwriting and investment income, double-digit book-value compounding, and a diversified global platform. But the stock has rallied ~14% YTD into new highs, valuation is full, and the market is pricing a modest ~2% move. The debate is less about whether Chubb beats (it has topped consensus four straight quarters) and more about the</w:t>
      </w:r>
      <w:r>
        <w:t xml:space="preserve"> </w:t>
      </w:r>
      <w:r>
        <w:rPr>
          <w:b/>
          <w:bCs/>
        </w:rPr>
        <w:t xml:space="preserve">durability of margins and growth</w:t>
      </w:r>
      <w:r>
        <w:t xml:space="preserve"> </w:t>
      </w:r>
      <w:r>
        <w:t xml:space="preserve">as commercial property and financial lines soften, casualty firms, and an active Q2 catastrophe season pressures the loss line. Management tone from Evan Greenberg — on pricing, reserves, and macro/geopolitical risk — will drive the after-hours reaction more than the headline number.</w:t>
      </w:r>
    </w:p>
    <w:p>
      <w:r>
        <w:pict>
          <v:rect style="width:0;height:1.5pt" o:hralign="center" o:hrstd="t" o:hr="t"/>
        </w:pict>
      </w:r>
    </w:p>
    <w:bookmarkEnd w:id="9"/>
    <w:bookmarkStart w:id="10" w:name="consensus-expectations"/>
    <w:p>
      <w:pPr>
        <w:pStyle w:val="Heading2"/>
      </w:pPr>
      <w:r>
        <w:t xml:space="preserve">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Core operating EPS</w:t>
            </w:r>
          </w:p>
        </w:tc>
        <w:tc>
          <w:tcPr/>
          <w:p>
            <w:pPr>
              <w:pStyle w:val="Compact"/>
            </w:pPr>
            <w:r>
              <w:t xml:space="preserve">~</w:t>
            </w:r>
            <m:oMath>
              <m:r>
                <m:t>6.60</m:t>
              </m:r>
              <m:r>
                <m:rPr>
                  <m:sty m:val="p"/>
                </m:rPr>
                <m:t>(</m:t>
              </m:r>
              <m:r>
                <m:t>Z</m:t>
              </m:r>
              <m:r>
                <m:t>a</m:t>
              </m:r>
              <m:r>
                <m:t>c</m:t>
              </m:r>
              <m:r>
                <m:t>k</m:t>
              </m:r>
              <m:r>
                <m:t>s</m:t>
              </m:r>
              <m:r>
                <m:rPr>
                  <m:sty m:val="p"/>
                </m:rPr>
                <m:t>)</m:t>
              </m:r>
              <m:r>
                <m:t>t</m:t>
              </m:r>
              <m:r>
                <m:t>o</m:t>
              </m:r>
              <m:r>
                <m:t> </m:t>
              </m:r>
            </m:oMath>
            <w:r>
              <w:t xml:space="preserve">6.73–6.74 (Street)</w:t>
            </w:r>
          </w:p>
        </w:tc>
        <w:tc>
          <w:tcPr/>
          <w:p>
            <w:pPr>
              <w:pStyle w:val="Compact"/>
            </w:pPr>
            <w:r>
              <w:t xml:space="preserve">$6.14</w:t>
            </w:r>
          </w:p>
        </w:tc>
        <w:tc>
          <w:tcPr/>
          <w:p>
            <w:pPr>
              <w:pStyle w:val="Compact"/>
            </w:pPr>
            <w:r>
              <w:t xml:space="preserve">+7.5% to +9.6%</w:t>
            </w:r>
          </w:p>
        </w:tc>
      </w:tr>
      <w:tr>
        <w:tc>
          <w:tcPr/>
          <w:p>
            <w:pPr>
              <w:pStyle w:val="Compact"/>
            </w:pPr>
            <w:r>
              <w:t xml:space="preserve">Revenue</w:t>
            </w:r>
          </w:p>
        </w:tc>
        <w:tc>
          <w:tcPr/>
          <w:p>
            <w:pPr>
              <w:pStyle w:val="Compact"/>
            </w:pPr>
            <w:r>
              <w:t xml:space="preserve">~$13.0B (varies by definition)</w:t>
            </w:r>
          </w:p>
        </w:tc>
        <w:tc>
          <w:tcPr/>
          <w:p>
            <w:pPr>
              <w:pStyle w:val="Compact"/>
            </w:pPr>
            <w:r>
              <w:t xml:space="preserve">—</w:t>
            </w:r>
          </w:p>
        </w:tc>
        <w:tc>
          <w:tcPr/>
          <w:p>
            <w:pPr>
              <w:pStyle w:val="Compact"/>
            </w:pPr>
            <w:r>
              <w:t xml:space="preserve">+~5%</w:t>
            </w:r>
          </w:p>
        </w:tc>
      </w:tr>
      <w:tr>
        <w:tc>
          <w:tcPr/>
          <w:p>
            <w:pPr>
              <w:pStyle w:val="Compact"/>
            </w:pPr>
            <w:r>
              <w:t xml:space="preserve">Adjusted net investment income</w:t>
            </w:r>
          </w:p>
        </w:tc>
        <w:tc>
          <w:tcPr/>
          <w:p>
            <w:pPr>
              <w:pStyle w:val="Compact"/>
            </w:pPr>
            <w:r>
              <w:t xml:space="preserve">~$1.83–1.86B (co. guided $1.825–1.85B)</w:t>
            </w:r>
          </w:p>
        </w:tc>
        <w:tc>
          <w:tcPr/>
          <w:p>
            <w:pPr>
              <w:pStyle w:val="Compact"/>
            </w:pPr>
            <w:r>
              <w:t xml:space="preserve">$1.69B</w:t>
            </w:r>
          </w:p>
        </w:tc>
        <w:tc>
          <w:tcPr/>
          <w:p>
            <w:pPr>
              <w:pStyle w:val="Compact"/>
            </w:pPr>
            <w:r>
              <w:t xml:space="preserve">+~8–10%</w:t>
            </w:r>
          </w:p>
        </w:tc>
      </w:tr>
    </w:tbl>
    <w:p>
      <w:pPr>
        <w:pStyle w:val="Compact"/>
        <w:numPr>
          <w:ilvl w:val="0"/>
          <w:numId w:val="1001"/>
        </w:numPr>
      </w:pPr>
      <w:r>
        <w:t xml:space="preserve">The Street range is fairly tight:</w:t>
      </w:r>
      <w:r>
        <w:t xml:space="preserve"> </w:t>
      </w:r>
      <w:r>
        <w:rPr>
          <w:b/>
          <w:bCs/>
        </w:rPr>
        <w:t xml:space="preserve">$6.17 to $7.10</w:t>
      </w:r>
      <w:r>
        <w:t xml:space="preserve"> </w:t>
      </w:r>
      <w:r>
        <w:t xml:space="preserve">across ~22 analysts, with estimates drifting</w:t>
      </w:r>
      <w:r>
        <w:t xml:space="preserve"> </w:t>
      </w:r>
      <w:r>
        <w:rPr>
          <w:i/>
          <w:iCs/>
        </w:rPr>
        <w:t xml:space="preserve">up</w:t>
      </w:r>
      <w:r>
        <w:t xml:space="preserve"> </w:t>
      </w:r>
      <w:r>
        <w:t xml:space="preserve">modestly (~0.7% over 30 days), a sign of improving visibility.</w:t>
      </w:r>
    </w:p>
    <w:p>
      <w:pPr>
        <w:pStyle w:val="Compact"/>
        <w:numPr>
          <w:ilvl w:val="0"/>
          <w:numId w:val="1001"/>
        </w:numPr>
      </w:pPr>
      <w:r>
        <w:rPr>
          <w:b/>
          <w:bCs/>
        </w:rPr>
        <w:t xml:space="preserve">Surprise history is favorable:</w:t>
      </w:r>
      <w:r>
        <w:t xml:space="preserve"> </w:t>
      </w:r>
      <w:r>
        <w:t xml:space="preserve">last quarter Chubb posted</w:t>
      </w:r>
      <w:r>
        <w:t xml:space="preserve"> </w:t>
      </w:r>
      <m:oMath>
        <m:r>
          <m:t>6.82</m:t>
        </m:r>
        <m:r>
          <m:t>v</m:t>
        </m:r>
        <m:r>
          <m:t>s</m:t>
        </m:r>
        <m:r>
          <m:rPr>
            <m:sty m:val="p"/>
          </m:rPr>
          <m:t>.</m:t>
        </m:r>
        <m:r>
          <m:t> </m:t>
        </m:r>
      </m:oMath>
      <w:r>
        <w:t xml:space="preserve">6.48 expected (+5.3%); it has beaten on EPS in each of the last four quarters.</w:t>
      </w:r>
    </w:p>
    <w:p>
      <w:pPr>
        <w:pStyle w:val="Compact"/>
        <w:numPr>
          <w:ilvl w:val="0"/>
          <w:numId w:val="1001"/>
        </w:numPr>
      </w:pPr>
      <w:r>
        <w:t xml:space="preserve">Sell-side rating is a</w:t>
      </w:r>
      <w:r>
        <w:t xml:space="preserve"> </w:t>
      </w:r>
      <w:r>
        <w:rPr>
          <w:b/>
          <w:bCs/>
        </w:rPr>
        <w:t xml:space="preserve">"Moderate Buy"</w:t>
      </w:r>
      <w:r>
        <w:t xml:space="preserve"> </w:t>
      </w:r>
      <w:r>
        <w:t xml:space="preserve">(~74% buy), but a meaningful bloc of Holds reflects the full valuation.</w:t>
      </w:r>
    </w:p>
    <w:p>
      <w:r>
        <w:pict>
          <v:rect style="width:0;height:1.5pt" o:hralign="center" o:hrstd="t" o:hr="t"/>
        </w:pict>
      </w:r>
    </w:p>
    <w:bookmarkEnd w:id="10"/>
    <w:bookmarkStart w:id="11" w:name="X49601bf35634a5061ce6078f953a3dd5e72b6ac"/>
    <w:p>
      <w:pPr>
        <w:pStyle w:val="Heading2"/>
      </w:pPr>
      <w:r>
        <w:t xml:space="preserve">The Year-Ago Bar (Q2 2025) — What CB Has to Lap</w:t>
      </w:r>
    </w:p>
    <w:p>
      <w:pPr>
        <w:pStyle w:val="FirstParagraph"/>
      </w:pPr>
      <w:r>
        <w:t xml:space="preserve">Q2 2025 was a</w:t>
      </w:r>
      <w:r>
        <w:t xml:space="preserve"> </w:t>
      </w:r>
      <w:r>
        <w:rPr>
          <w:i/>
          <w:iCs/>
        </w:rPr>
        <w:t xml:space="preserve">record</w:t>
      </w:r>
      <w:r>
        <w:t xml:space="preserve"> </w:t>
      </w:r>
      <w:r>
        <w:t xml:space="preserve">quarter, so comparisons are demanding:</w:t>
      </w:r>
    </w:p>
    <w:p>
      <w:pPr>
        <w:pStyle w:val="Compact"/>
        <w:numPr>
          <w:ilvl w:val="0"/>
          <w:numId w:val="1002"/>
        </w:numPr>
      </w:pPr>
      <w:r>
        <w:rPr>
          <w:b/>
          <w:bCs/>
        </w:rPr>
        <w:t xml:space="preserve">Core operating income $2.48B / $6.14 EPS</w:t>
      </w:r>
      <w:r>
        <w:t xml:space="preserve">, up ~13%/14%; net income EPS $7.35</w:t>
      </w:r>
    </w:p>
    <w:p>
      <w:pPr>
        <w:pStyle w:val="Compact"/>
        <w:numPr>
          <w:ilvl w:val="0"/>
          <w:numId w:val="1002"/>
        </w:numPr>
      </w:pPr>
      <w:r>
        <w:rPr>
          <w:b/>
          <w:bCs/>
        </w:rPr>
        <w:t xml:space="preserve">P&amp;C NPW $12.39B, +5.2%</w:t>
      </w:r>
      <w:r>
        <w:t xml:space="preserve"> </w:t>
      </w:r>
      <w:r>
        <w:t xml:space="preserve">(+5.8% constant-dollar);</w:t>
      </w:r>
      <w:r>
        <w:t xml:space="preserve"> </w:t>
      </w:r>
      <w:r>
        <w:rPr>
          <w:b/>
          <w:bCs/>
        </w:rPr>
        <w:t xml:space="preserve">combined ratio 85.6%</w:t>
      </w:r>
    </w:p>
    <w:p>
      <w:pPr>
        <w:pStyle w:val="Compact"/>
        <w:numPr>
          <w:ilvl w:val="0"/>
          <w:numId w:val="1002"/>
        </w:numPr>
      </w:pPr>
      <w:r>
        <w:rPr>
          <w:b/>
          <w:bCs/>
        </w:rPr>
        <w:t xml:space="preserve">Current-accident-year underwriting income ex-cat: record ~$2.01B</w:t>
      </w:r>
      <w:r>
        <w:t xml:space="preserve">, CAY ex-cat CR</w:t>
      </w:r>
      <w:r>
        <w:t xml:space="preserve"> </w:t>
      </w:r>
      <w:r>
        <w:rPr>
          <w:b/>
          <w:bCs/>
        </w:rPr>
        <w:t xml:space="preserve">82.3%</w:t>
      </w:r>
    </w:p>
    <w:p>
      <w:pPr>
        <w:pStyle w:val="Compact"/>
        <w:numPr>
          <w:ilvl w:val="0"/>
          <w:numId w:val="1002"/>
        </w:numPr>
      </w:pPr>
      <w:r>
        <w:rPr>
          <w:b/>
          <w:bCs/>
        </w:rPr>
        <w:t xml:space="preserve">Cat losses $630M pre-tax</w:t>
      </w:r>
      <w:r>
        <w:t xml:space="preserve"> </w:t>
      </w:r>
      <w:r>
        <w:t xml:space="preserve">(5.5 pts of the combined ratio); favorable prior-period development $249M</w:t>
      </w:r>
    </w:p>
    <w:p>
      <w:pPr>
        <w:pStyle w:val="Compact"/>
        <w:numPr>
          <w:ilvl w:val="0"/>
          <w:numId w:val="1002"/>
        </w:numPr>
      </w:pPr>
      <w:r>
        <w:rPr>
          <w:b/>
          <w:bCs/>
        </w:rPr>
        <w:t xml:space="preserve">Life NPW $1.80B (+14%)</w:t>
      </w:r>
      <w:r>
        <w:t xml:space="preserve">, segment income $305M</w:t>
      </w:r>
    </w:p>
    <w:p>
      <w:pPr>
        <w:pStyle w:val="Compact"/>
        <w:numPr>
          <w:ilvl w:val="0"/>
          <w:numId w:val="1002"/>
        </w:numPr>
      </w:pPr>
      <w:r>
        <w:rPr>
          <w:b/>
          <w:bCs/>
        </w:rPr>
        <w:t xml:space="preserve">Core operating ROTE 21.0%</w:t>
      </w:r>
      <w:r>
        <w:t xml:space="preserve">; tangible book value/share +23.7% Y/Y</w:t>
      </w:r>
    </w:p>
    <w:p>
      <w:r>
        <w:pict>
          <v:rect style="width:0;height:1.5pt" o:hralign="center" o:hrstd="t" o:hr="t"/>
        </w:pict>
      </w:r>
    </w:p>
    <w:bookmarkEnd w:id="11"/>
    <w:bookmarkStart w:id="12" w:name="X43e5f459cd4caf701c253c54e6c69f018f8da07"/>
    <w:p>
      <w:pPr>
        <w:pStyle w:val="Heading2"/>
      </w:pPr>
      <w:r>
        <w:t xml:space="preserve">Momentum: What Q1 2026 Told Us (reported 4/21)</w:t>
      </w:r>
    </w:p>
    <w:p>
      <w:pPr>
        <w:pStyle w:val="FirstParagraph"/>
      </w:pPr>
      <w:r>
        <w:t xml:space="preserve">The most recent quarter frames the trajectory heading in:</w:t>
      </w:r>
    </w:p>
    <w:p>
      <w:pPr>
        <w:pStyle w:val="Compact"/>
        <w:numPr>
          <w:ilvl w:val="0"/>
          <w:numId w:val="1003"/>
        </w:numPr>
      </w:pPr>
      <w:r>
        <w:rPr>
          <w:b/>
          <w:bCs/>
        </w:rPr>
        <w:t xml:space="preserve">Core operating EPS $6.82, +85%</w:t>
      </w:r>
      <w:r>
        <w:t xml:space="preserve"> </w:t>
      </w:r>
      <w:r>
        <w:t xml:space="preserve">vs. a wildfire-hit Q1 2025 — but</w:t>
      </w:r>
      <w:r>
        <w:t xml:space="preserve"> </w:t>
      </w:r>
      <w:r>
        <w:rPr>
          <w:b/>
          <w:bCs/>
        </w:rPr>
        <w:t xml:space="preserve">only +13.5% ex-catastrophe</w:t>
      </w:r>
      <w:r>
        <w:t xml:space="preserve">, the cleaner read</w:t>
      </w:r>
    </w:p>
    <w:p>
      <w:pPr>
        <w:pStyle w:val="Compact"/>
        <w:numPr>
          <w:ilvl w:val="0"/>
          <w:numId w:val="1003"/>
        </w:numPr>
      </w:pPr>
      <w:r>
        <w:rPr>
          <w:b/>
          <w:bCs/>
        </w:rPr>
        <w:t xml:space="preserve">Consolidated NPW $14.0B, +10.7%</w:t>
      </w:r>
      <w:r>
        <w:t xml:space="preserve"> </w:t>
      </w:r>
      <w:r>
        <w:t xml:space="preserve">(P&amp;C +7.2%, Life +33.1%); combined ratio</w:t>
      </w:r>
      <w:r>
        <w:t xml:space="preserve"> </w:t>
      </w:r>
      <w:r>
        <w:rPr>
          <w:b/>
          <w:bCs/>
        </w:rPr>
        <w:t xml:space="preserve">84.0%</w:t>
      </w:r>
      <w:r>
        <w:t xml:space="preserve">, CAY ex-cat</w:t>
      </w:r>
      <w:r>
        <w:t xml:space="preserve"> </w:t>
      </w:r>
      <w:r>
        <w:rPr>
          <w:b/>
          <w:bCs/>
        </w:rPr>
        <w:t xml:space="preserve">82.1%</w:t>
      </w:r>
    </w:p>
    <w:p>
      <w:pPr>
        <w:pStyle w:val="Compact"/>
        <w:numPr>
          <w:ilvl w:val="0"/>
          <w:numId w:val="1003"/>
        </w:numPr>
      </w:pPr>
      <w:r>
        <w:rPr>
          <w:b/>
          <w:bCs/>
        </w:rPr>
        <w:t xml:space="preserve">Adjusted NII a record $1.84B, +10.1%</w:t>
      </w:r>
    </w:p>
    <w:p>
      <w:pPr>
        <w:pStyle w:val="Compact"/>
        <w:numPr>
          <w:ilvl w:val="0"/>
          <w:numId w:val="1003"/>
        </w:numPr>
      </w:pPr>
      <w:r>
        <w:rPr>
          <w:b/>
          <w:bCs/>
        </w:rPr>
        <w:t xml:space="preserve">TBV/share</w:t>
      </w:r>
      <w:r>
        <w:rPr>
          <w:b/>
          <w:bCs/>
        </w:rPr>
        <w:t xml:space="preserve"> </w:t>
      </w:r>
      <m:oMath>
        <m:r>
          <m:t>126.65</m:t>
        </m:r>
        <m:r>
          <m:rPr>
            <m:sty m:val="p"/>
          </m:rPr>
          <m:t>,</m:t>
        </m:r>
        <m:r>
          <m:rPr>
            <m:sty m:val="p"/>
          </m:rPr>
          <m:t>+</m:t>
        </m:r>
        <m:r>
          <m:t>21.5</m:t>
        </m:r>
      </m:oMath>
      <w:r>
        <w:rPr>
          <w:b/>
          <w:bCs/>
        </w:rPr>
        <w:t xml:space="preserve">1.52B</w:t>
      </w:r>
      <w:r>
        <w:t xml:space="preserve"> </w:t>
      </w:r>
      <w:r>
        <w:t xml:space="preserve">(~$1.14B buybacks + $380M dividends)</w:t>
      </w:r>
    </w:p>
    <w:p>
      <w:pPr>
        <w:pStyle w:val="Compact"/>
        <w:numPr>
          <w:ilvl w:val="0"/>
          <w:numId w:val="1003"/>
        </w:numPr>
      </w:pPr>
      <w:r>
        <w:rPr>
          <w:b/>
          <w:bCs/>
        </w:rPr>
        <w:t xml:space="preserve">Important nuance:</w:t>
      </w:r>
      <w:r>
        <w:t xml:space="preserve"> </w:t>
      </w:r>
      <w:r>
        <w:t xml:space="preserve">GAAP net income EPS of $5.88</w:t>
      </w:r>
      <w:r>
        <w:t xml:space="preserve"> </w:t>
      </w:r>
      <w:r>
        <w:rPr>
          <w:i/>
          <w:iCs/>
        </w:rPr>
        <w:t xml:space="preserve">missed</w:t>
      </w:r>
      <w:r>
        <w:t xml:space="preserve">, and shares fell ~1.2%, on a jump in net realized losses to $407M (mark-to-market on the fixed-income book) and AOCI drag. Watch for the same GAAP-vs-core divergence this quarter if rates move.</w:t>
      </w:r>
    </w:p>
    <w:p>
      <w:r>
        <w:pict>
          <v:rect style="width:0;height:1.5pt" o:hralign="center" o:hrstd="t" o:hr="t"/>
        </w:pict>
      </w:r>
    </w:p>
    <w:bookmarkEnd w:id="12"/>
    <w:bookmarkStart w:id="13" w:name="key-debates--what-to-watch"/>
    <w:p>
      <w:pPr>
        <w:pStyle w:val="Heading2"/>
      </w:pPr>
      <w:r>
        <w:t xml:space="preserve">Key Debates &amp; What to Watch</w:t>
      </w:r>
    </w:p>
    <w:p>
      <w:pPr>
        <w:pStyle w:val="FirstParagraph"/>
      </w:pPr>
      <w:r>
        <w:rPr>
          <w:b/>
          <w:bCs/>
        </w:rPr>
        <w:t xml:space="preserve">1. Property pricing — the central margin story.</w:t>
      </w:r>
      <w:r>
        <w:t xml:space="preserve"> </w:t>
      </w:r>
      <w:r>
        <w:t xml:space="preserve">Management has been explicit that large-account property is softening</w:t>
      </w:r>
      <w:r>
        <w:t xml:space="preserve"> </w:t>
      </w:r>
      <w:r>
        <w:rPr>
          <w:i/>
          <w:iCs/>
        </w:rPr>
        <w:t xml:space="preserve">rapidly</w:t>
      </w:r>
      <w:r>
        <w:t xml:space="preserve">. In Q1, Chubb deliberately</w:t>
      </w:r>
      <w:r>
        <w:t xml:space="preserve"> </w:t>
      </w:r>
      <w:r>
        <w:rPr>
          <w:b/>
          <w:bCs/>
        </w:rPr>
        <w:t xml:space="preserve">non-renewed a large share of shared-and-layered property</w:t>
      </w:r>
      <w:r>
        <w:t xml:space="preserve"> </w:t>
      </w:r>
      <w:r>
        <w:t xml:space="preserve">in Major Accounts and E&amp;S and bought more reinsurance; large-account property NPW fell ~55%, dragging North America Commercial growth to just +2.3% (but</w:t>
      </w:r>
      <w:r>
        <w:t xml:space="preserve"> </w:t>
      </w:r>
      <w:r>
        <w:rPr>
          <w:b/>
          <w:bCs/>
        </w:rPr>
        <w:t xml:space="preserve">+7.3% excluding large-account property</w:t>
      </w:r>
      <w:r>
        <w:t xml:space="preserve">). Watch whether this disciplined pullback continues and how much it caps top-line growth vs. protects the loss ratio.</w:t>
      </w:r>
    </w:p>
    <w:p>
      <w:pPr>
        <w:pStyle w:val="BodyText"/>
      </w:pPr>
      <w:r>
        <w:rPr>
          <w:b/>
          <w:bCs/>
        </w:rPr>
        <w:t xml:space="preserve">2. Financial lines &amp; casualty crosscurrents.</w:t>
      </w:r>
      <w:r>
        <w:t xml:space="preserve"> </w:t>
      </w:r>
      <w:r>
        <w:t xml:space="preserve">Financial lines remain soft (down ~5.7% in middle market in Q1), while</w:t>
      </w:r>
      <w:r>
        <w:t xml:space="preserve"> </w:t>
      </w:r>
      <w:r>
        <w:rPr>
          <w:b/>
          <w:bCs/>
        </w:rPr>
        <w:t xml:space="preserve">casualty is firming</w:t>
      </w:r>
      <w:r>
        <w:t xml:space="preserve"> </w:t>
      </w:r>
      <w:r>
        <w:t xml:space="preserve">where rate is needed. The critical question is reserve adequacy amid social inflation — monitor</w:t>
      </w:r>
      <w:r>
        <w:t xml:space="preserve"> </w:t>
      </w:r>
      <w:r>
        <w:rPr>
          <w:b/>
          <w:bCs/>
        </w:rPr>
        <w:t xml:space="preserve">prior-period development</w:t>
      </w:r>
      <w:r>
        <w:t xml:space="preserve"> </w:t>
      </w:r>
      <w:r>
        <w:t xml:space="preserve">(has run favorable: $249M in Q2'25, $286M in Q1'26) for any signs of casualty strain.</w:t>
      </w:r>
    </w:p>
    <w:p>
      <w:pPr>
        <w:pStyle w:val="BodyText"/>
      </w:pPr>
      <w:r>
        <w:rPr>
          <w:b/>
          <w:bCs/>
        </w:rPr>
        <w:t xml:space="preserve">3. Catastrophe load.</w:t>
      </w:r>
      <w:r>
        <w:t xml:space="preserve"> </w:t>
      </w:r>
      <w:r>
        <w:t xml:space="preserve">Q2 is seasonally heavy for U.S. severe convective storms, and 2026 has been active — industry SCS losses reportedly</w:t>
      </w:r>
      <w:r>
        <w:t xml:space="preserve"> </w:t>
      </w:r>
      <w:r>
        <w:rPr>
          <w:b/>
          <w:bCs/>
        </w:rPr>
        <w:t xml:space="preserve">topped ~$22B by mid-June</w:t>
      </w:r>
      <w:r>
        <w:t xml:space="preserve">, with a June derecho/tornado outbreak adding mid-single-digit billions. Chubb's cat number vs. the $630M year-ago figure is the biggest swing factor around the headline.</w:t>
      </w:r>
    </w:p>
    <w:p>
      <w:pPr>
        <w:pStyle w:val="BodyText"/>
      </w:pPr>
      <w:r>
        <w:rPr>
          <w:b/>
          <w:bCs/>
        </w:rPr>
        <w:t xml:space="preserve">4. International &amp; consumer as the growth engine.</w:t>
      </w:r>
      <w:r>
        <w:t xml:space="preserve"> </w:t>
      </w:r>
      <w:r>
        <w:t xml:space="preserve">With NA commercial slowing, growth leadership sits with</w:t>
      </w:r>
      <w:r>
        <w:t xml:space="preserve"> </w:t>
      </w:r>
      <w:r>
        <w:rPr>
          <w:b/>
          <w:bCs/>
        </w:rPr>
        <w:t xml:space="preserve">Overseas General</w:t>
      </w:r>
      <w:r>
        <w:t xml:space="preserve"> </w:t>
      </w:r>
      <w:r>
        <w:t xml:space="preserve">(+14.4% in Q1, +6.1% constant-dollar) and consumer/Life lines — Latin America, Europe, and Asia (Huatai, Hong Kong, Taiwan, Korea) all strong. A</w:t>
      </w:r>
      <w:r>
        <w:t xml:space="preserve"> </w:t>
      </w:r>
      <w:r>
        <w:rPr>
          <w:b/>
          <w:bCs/>
        </w:rPr>
        <w:t xml:space="preserve">weaker dollar is a tailwind</w:t>
      </w:r>
      <w:r>
        <w:t xml:space="preserve">, so watch the gap between published and constant-dollar growth. Life segment momentum (+33% NPW in Q1) is another bright spot.</w:t>
      </w:r>
    </w:p>
    <w:p>
      <w:pPr>
        <w:pStyle w:val="BodyText"/>
      </w:pPr>
      <w:r>
        <w:rPr>
          <w:b/>
          <w:bCs/>
        </w:rPr>
        <w:t xml:space="preserve">5. Investment income durability.</w:t>
      </w:r>
      <w:r>
        <w:t xml:space="preserve"> </w:t>
      </w:r>
      <w:r>
        <w:t xml:space="preserve">Higher reinvestment yields on the ~</w:t>
      </w:r>
      <m:oMath>
        <m:r>
          <m:t>170</m:t>
        </m:r>
        <m:r>
          <m:t>B</m:t>
        </m:r>
        <m:r>
          <m:t>p</m:t>
        </m:r>
        <m:r>
          <m:t>o</m:t>
        </m:r>
        <m:r>
          <m:t>r</m:t>
        </m:r>
        <m:r>
          <m:t>t</m:t>
        </m:r>
        <m:r>
          <m:t>f</m:t>
        </m:r>
        <m:r>
          <m:t>o</m:t>
        </m:r>
        <m:r>
          <m:t>l</m:t>
        </m:r>
        <m:r>
          <m:t>i</m:t>
        </m:r>
        <m:r>
          <m:t>o</m:t>
        </m:r>
        <m:r>
          <m:t>k</m:t>
        </m:r>
        <m:r>
          <m:t>e</m:t>
        </m:r>
        <m:r>
          <m:t>e</m:t>
        </m:r>
        <m:r>
          <m:t>p</m:t>
        </m:r>
        <m:r>
          <m:t>l</m:t>
        </m:r>
        <m:r>
          <m:t>i</m:t>
        </m:r>
        <m:r>
          <m:t>f</m:t>
        </m:r>
        <m:r>
          <m:t>t</m:t>
        </m:r>
        <m:r>
          <m:t>i</m:t>
        </m:r>
        <m:r>
          <m:t>n</m:t>
        </m:r>
        <m:r>
          <m:t>g</m:t>
        </m:r>
        <m:r>
          <m:t>N</m:t>
        </m:r>
        <m:r>
          <m:t>I</m:t>
        </m:r>
        <m:r>
          <m:t>I</m:t>
        </m:r>
        <m:r>
          <m:rPr>
            <m:sty m:val="p"/>
          </m:rPr>
          <m:t>(</m:t>
        </m:r>
        <m:r>
          <m:t>r</m:t>
        </m:r>
        <m:r>
          <m:t>e</m:t>
        </m:r>
        <m:r>
          <m:t>c</m:t>
        </m:r>
        <m:r>
          <m:t>o</m:t>
        </m:r>
        <m:r>
          <m:t>r</m:t>
        </m:r>
        <m:r>
          <m:t>d</m:t>
        </m:r>
        <m:r>
          <m:t>s</m:t>
        </m:r>
        <m:r>
          <m:t>i</m:t>
        </m:r>
        <m:r>
          <m:t>n</m:t>
        </m:r>
        <m:r>
          <m:t>r</m:t>
        </m:r>
        <m:r>
          <m:t>e</m:t>
        </m:r>
        <m:r>
          <m:t>c</m:t>
        </m:r>
        <m:r>
          <m:t>e</m:t>
        </m:r>
        <m:r>
          <m:t>n</m:t>
        </m:r>
        <m:r>
          <m:t>t</m:t>
        </m:r>
        <m:r>
          <m:t>q</m:t>
        </m:r>
        <m:r>
          <m:t>u</m:t>
        </m:r>
        <m:r>
          <m:t>a</m:t>
        </m:r>
        <m:r>
          <m:t>r</m:t>
        </m:r>
        <m:r>
          <m:t>t</m:t>
        </m:r>
        <m:r>
          <m:t>e</m:t>
        </m:r>
        <m:r>
          <m:t>r</m:t>
        </m:r>
        <m:r>
          <m:t>s</m:t>
        </m:r>
        <m:r>
          <m:rPr>
            <m:sty m:val="p"/>
          </m:rPr>
          <m:t>)</m:t>
        </m:r>
        <m:r>
          <m:rPr>
            <m:sty m:val="p"/>
          </m:rPr>
          <m:t>.</m:t>
        </m:r>
        <m:r>
          <m:t>C</m:t>
        </m:r>
        <m:r>
          <m:t>o</m:t>
        </m:r>
        <m:r>
          <m:t>m</m:t>
        </m:r>
        <m:r>
          <m:t>p</m:t>
        </m:r>
        <m:r>
          <m:t>a</m:t>
        </m:r>
        <m:r>
          <m:t>n</m:t>
        </m:r>
        <m:r>
          <m:t>y</m:t>
        </m:r>
        <m:r>
          <m:t>g</m:t>
        </m:r>
        <m:r>
          <m:t>u</m:t>
        </m:r>
        <m:r>
          <m:t>i</m:t>
        </m:r>
        <m:r>
          <m:t>d</m:t>
        </m:r>
        <m:r>
          <m:t>a</m:t>
        </m:r>
        <m:r>
          <m:t>n</m:t>
        </m:r>
        <m:r>
          <m:t>c</m:t>
        </m:r>
        <m:r>
          <m:t>e</m:t>
        </m:r>
        <m:r>
          <m:t>i</m:t>
        </m:r>
        <m:r>
          <m:t>s</m:t>
        </m:r>
        <m:r>
          <m:rPr>
            <m:sty m:val="p"/>
          </m:rPr>
          <m:t>*</m:t>
        </m:r>
        <m:r>
          <m:rPr>
            <m:sty m:val="p"/>
          </m:rPr>
          <m:t>*</m:t>
        </m:r>
      </m:oMath>
      <w:r>
        <w:t xml:space="preserve">1.825–1.85B adjusted NII** for Q2. This is a reliable earnings pillar; any commentary on reinvestment rate trends matters for 2H.</w:t>
      </w:r>
    </w:p>
    <w:p>
      <w:pPr>
        <w:pStyle w:val="BodyText"/>
      </w:pPr>
      <w:r>
        <w:rPr>
          <w:b/>
          <w:bCs/>
        </w:rPr>
        <w:t xml:space="preserve">6. Capital return &amp; book value.</w:t>
      </w:r>
      <w:r>
        <w:t xml:space="preserve"> </w:t>
      </w:r>
      <w:r>
        <w:t xml:space="preserve">Chubb raised its dividend ~5.2% (33rd consecutive annual increase) and authorized a new **</w:t>
      </w:r>
      <m:oMath>
        <m:r>
          <m:t>7.5</m:t>
        </m:r>
        <m:r>
          <m:t>B</m:t>
        </m:r>
        <m:r>
          <m:t>b</m:t>
        </m:r>
        <m:r>
          <m:t>u</m:t>
        </m:r>
        <m:r>
          <m:t>y</m:t>
        </m:r>
        <m:r>
          <m:t>b</m:t>
        </m:r>
        <m:r>
          <m:t>a</m:t>
        </m:r>
        <m:r>
          <m:t>c</m:t>
        </m:r>
        <m:r>
          <m:t>k</m:t>
        </m:r>
        <m:r>
          <m:rPr>
            <m:sty m:val="p"/>
          </m:rPr>
          <m:t>*</m:t>
        </m:r>
        <m:r>
          <m:rPr>
            <m:sty m:val="p"/>
          </m:rPr>
          <m:t>*</m:t>
        </m:r>
        <m:r>
          <m:rPr>
            <m:sty m:val="p"/>
          </m:rPr>
          <m:t>;</m:t>
        </m:r>
        <m:r>
          <m:t>b</m:t>
        </m:r>
        <m:r>
          <m:t>u</m:t>
        </m:r>
        <m:r>
          <m:t>y</m:t>
        </m:r>
        <m:r>
          <m:t>b</m:t>
        </m:r>
        <m:r>
          <m:t>a</m:t>
        </m:r>
        <m:r>
          <m:t>c</m:t>
        </m:r>
        <m:r>
          <m:t>k</m:t>
        </m:r>
        <m:r>
          <m:t>s</m:t>
        </m:r>
        <m:r>
          <m:t>h</m:t>
        </m:r>
        <m:r>
          <m:t>a</m:t>
        </m:r>
        <m:r>
          <m:t>v</m:t>
        </m:r>
        <m:r>
          <m:t>e</m:t>
        </m:r>
        <m:r>
          <m:t>r</m:t>
        </m:r>
        <m:r>
          <m:t>u</m:t>
        </m:r>
        <m:r>
          <m:t>n</m:t>
        </m:r>
        <m:r>
          <m:t> </m:t>
        </m:r>
      </m:oMath>
      <w:r>
        <w:t xml:space="preserve">1.1B/quarter. Book value can be noisy from AOCI/mark-to-market, so</w:t>
      </w:r>
      <w:r>
        <w:t xml:space="preserve"> </w:t>
      </w:r>
      <w:r>
        <w:rPr>
          <w:b/>
          <w:bCs/>
        </w:rPr>
        <w:t xml:space="preserve">tangible book value per share growth ex-AOCI</w:t>
      </w:r>
      <w:r>
        <w:t xml:space="preserve"> </w:t>
      </w:r>
      <w:r>
        <w:t xml:space="preserve">is the cleaner compounding signal management emphasizes.</w:t>
      </w:r>
    </w:p>
    <w:p>
      <w:pPr>
        <w:pStyle w:val="BodyText"/>
      </w:pPr>
      <w:r>
        <w:rPr>
          <w:b/>
          <w:bCs/>
        </w:rPr>
        <w:t xml:space="preserve">7. Greenberg's macro/geopolitical read.</w:t>
      </w:r>
      <w:r>
        <w:t xml:space="preserve"> </w:t>
      </w:r>
      <w:r>
        <w:t xml:space="preserve">Expect commentary on Middle East conflict and marine/war-risk pricing (Chubb is actively underwriting Strait of Hormuz shipping), plus tariffs, inflation, and loss-cost trends — historically a market-moving portion of the call.</w:t>
      </w:r>
    </w:p>
    <w:p>
      <w:r>
        <w:pict>
          <v:rect style="width:0;height:1.5pt" o:hralign="center" o:hrstd="t" o:hr="t"/>
        </w:pict>
      </w:r>
    </w:p>
    <w:bookmarkEnd w:id="13"/>
    <w:bookmarkStart w:id="14" w:name="positioning--riskreward"/>
    <w:p>
      <w:pPr>
        <w:pStyle w:val="Heading2"/>
      </w:pPr>
      <w:r>
        <w:t xml:space="preserve">Positioning &amp; Risk/Reward</w:t>
      </w:r>
    </w:p>
    <w:p>
      <w:pPr>
        <w:pStyle w:val="Compact"/>
        <w:numPr>
          <w:ilvl w:val="0"/>
          <w:numId w:val="1004"/>
        </w:numPr>
      </w:pPr>
      <w:r>
        <w:rPr>
          <w:b/>
          <w:bCs/>
        </w:rPr>
        <w:t xml:space="preserve">Setup is rich.</w:t>
      </w:r>
      <w:r>
        <w:t xml:space="preserve"> </w:t>
      </w:r>
      <w:r>
        <w:t xml:space="preserve">The stock is near highs after a ~14% YTD run and sits around the average price target, leaving less margin for error. Options imply only a ~2% move, so a clean beat may already be partly discounted.</w:t>
      </w:r>
    </w:p>
    <w:p>
      <w:pPr>
        <w:pStyle w:val="Compact"/>
        <w:numPr>
          <w:ilvl w:val="0"/>
          <w:numId w:val="1004"/>
        </w:numPr>
      </w:pPr>
      <w:r>
        <w:rPr>
          <w:b/>
          <w:bCs/>
        </w:rPr>
        <w:t xml:space="preserve">Peer read-through is cautionary on reactions.</w:t>
      </w:r>
      <w:r>
        <w:t xml:space="preserve"> </w:t>
      </w:r>
      <w:r>
        <w:t xml:space="preserve">In this reporting season, Travelers posted roughly flat revenue (slight miss), and Progressive</w:t>
      </w:r>
      <w:r>
        <w:t xml:space="preserve"> </w:t>
      </w:r>
      <w:r>
        <w:rPr>
          <w:i/>
          <w:iCs/>
        </w:rPr>
        <w:t xml:space="preserve">beat</w:t>
      </w:r>
      <w:r>
        <w:t xml:space="preserve"> </w:t>
      </w:r>
      <w:r>
        <w:t xml:space="preserve">yet sold off ~9% — a reminder that P&amp;C stocks can fall on strong prints if forward pricing/growth commentary disappoints.</w:t>
      </w:r>
    </w:p>
    <w:p>
      <w:pPr>
        <w:pStyle w:val="Compact"/>
        <w:numPr>
          <w:ilvl w:val="0"/>
          <w:numId w:val="1004"/>
        </w:numPr>
      </w:pPr>
      <w:r>
        <w:rPr>
          <w:b/>
          <w:bCs/>
        </w:rPr>
        <w:t xml:space="preserve">Bottom line:</w:t>
      </w:r>
      <w:r>
        <w:t xml:space="preserve"> </w:t>
      </w:r>
      <w:r>
        <w:t xml:space="preserve">The most likely outcome is another modest EPS beat driven by NII and international/consumer growth, with underwriting margins healthy on a current-accident-year ex-cat basis. The share reaction will hinge on (a) the catastrophe load, (b) how much softening property/financial lines is dinging growth and underlying loss ratios, and (c) whether Greenberg's tone on pricing and reserves reassures or unsettles. Given the valuation, the risk/reward into the print looks balanced-to-slightly-cautious even with a fundamentally strong franchise.</w:t>
      </w:r>
    </w:p>
    <w:p>
      <w:pPr>
        <w:pStyle w:val="FirstParagraph"/>
      </w:pPr>
      <w:r>
        <w:rPr>
          <w:i/>
          <w:iCs/>
        </w:rPr>
        <w:t xml:space="preserve">Note on figures: consensus and market-reaction data are drawn from public analyst previews (Street/Zacks) as of mid-July 2026; prior-period financials are from Chubb's Q2 2025 and Q1 2026 earnings releases. Estimate definitions (core operating vs. GAAP EPS, revenue conventions) vary across data providers, which explains the range in "consensus" figures cited above.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2026-07-21T01:08:08Z</dcterms:created>
  <dcterms:modified xsi:type="dcterms:W3CDTF">2026-07-21T01:08:08Z</dcterms:modified>
</cp:coreProperties>
</file>

<file path=docProps/custom.xml><?xml version="1.0" encoding="utf-8"?>
<Properties xmlns="http://schemas.openxmlformats.org/officeDocument/2006/custom-properties" xmlns:vt="http://schemas.openxmlformats.org/officeDocument/2006/docPropsVTypes"/>
</file>