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-earnings-predictions--2026-07-21"/>
    <w:p>
      <w:pPr>
        <w:pStyle w:val="Heading1"/>
      </w:pPr>
      <w:r>
        <w:t xml:space="preserve">CB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 vs. cons $6.67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(ex-cat)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~82.4% vs. cons 82.6%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headline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~84.8% vs. cons 85.7%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net investment income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~$1.86B vs. cons $1.83B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NPW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~+4.0% vs. cons +5.5%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/ tangible book value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~+10% vs. cons +9%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(FADE)</w:t>
            </w:r>
          </w:p>
        </w:tc>
        <w:tc>
          <w:tcPr/>
          <w:p>
            <w:pPr>
              <w:pStyle w:val="Compact"/>
            </w:pPr>
            <w:r>
              <w:t xml:space="preserve">Stock already up ~13% since June 22 into the print, so even a Q2 beat on core EPS/underlying ratio is likely 'priced in'; management's blunt Q1 commentary on accelerating large-account property price declines (25%→30%+) implies further deliberate NPW/premium shrinkage in H2, which should pull consensus H2 2026/FY2026 NPW and EPS estimates down over the following days, echoing the Q1 2026 pattern where headline metrics disappointed despite solid underlying trends—driving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2026-07-21T01:04:07Z</dcterms:created>
  <dcterms:modified xsi:type="dcterms:W3CDTF">2026-07-21T01:04:07Z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