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22a1e85c1db2caecb0d60d4a768d33fb1094db3"/>
    <w:p>
      <w:pPr>
        <w:pStyle w:val="Heading1"/>
      </w:pPr>
      <w:r>
        <w:t xml:space="preserve">Chubb Limited (CB) — Q2 2026 Earnings Preview</w:t>
      </w:r>
    </w:p>
    <w:p>
      <w:pPr>
        <w:pStyle w:val="FirstParagraph"/>
      </w:pPr>
      <w:r>
        <w:rPr>
          <w:b/>
          <w:bCs/>
        </w:rPr>
        <w:t xml:space="preserve">Report Date:</w:t>
      </w:r>
      <w:r>
        <w:t xml:space="preserve"> </w:t>
      </w:r>
      <w:r>
        <w:t xml:space="preserve">Tuesday, July 21, 2026 (after market close); conference call following morning</w:t>
      </w:r>
      <w:r>
        <w:t xml:space="preserve"> </w:t>
      </w:r>
      <w:r>
        <w:rPr>
          <w:b/>
          <w:bCs/>
        </w:rPr>
        <w:t xml:space="preserve">Current Share Price:</w:t>
      </w:r>
      <w:r>
        <w:t xml:space="preserve"> </w:t>
      </w:r>
      <w:r>
        <w:t xml:space="preserve">~$352 (up ~14% YTD, near 52-week highs)</w:t>
      </w:r>
    </w:p>
    <w:p>
      <w:r>
        <w:pict>
          <v:rect style="width:0;height:1.5pt" o:hralign="center" o:hrstd="t" o:hr="t"/>
        </w:pict>
      </w:r>
    </w:p>
    <w:bookmarkStart w:id="9" w:name="X340611ab981650f1d64c78ce49edfd22d9a6c03"/>
    <w:p>
      <w:pPr>
        <w:pStyle w:val="Heading2"/>
      </w:pPr>
      <w:r>
        <w:t xml:space="preserve">1. Setting the Stage</w:t>
      </w:r>
    </w:p>
    <w:p>
      <w:pPr>
        <w:pStyle w:val="FirstParagraph"/>
      </w:pPr>
      <w:r>
        <w:t xml:space="preserve">Chubb enters this print on strong momentum. The stock has rallied from roughly $310 at the start of the year to $352 heading into earnings, with a particularly sharp move since late June (+~13% since June 22). Consensus sentiment on large-cap P&amp;C insurers is broadly constructive heading into the print — the market expects</w:t>
      </w:r>
      <w:r>
        <w:t xml:space="preserve"> </w:t>
      </w:r>
      <w:r>
        <w:rPr>
          <w:b/>
          <w:bCs/>
        </w:rPr>
        <w:t xml:space="preserve">robust profitability</w:t>
      </w:r>
      <w:r>
        <w:t xml:space="preserve"> </w:t>
      </w:r>
      <w:r>
        <w:t xml:space="preserve">even as premium growth decelerates due to softening property pricing.</w:t>
      </w:r>
    </w:p>
    <w:p>
      <w:pPr>
        <w:pStyle w:val="BodyText"/>
      </w:pPr>
      <w:r>
        <w:rPr>
          <w:b/>
          <w:bCs/>
        </w:rPr>
        <w:t xml:space="preserve">Consensus estimates for Q2 2026 (per sell-side compilations):</w:t>
      </w:r>
    </w:p>
    <w:p>
      <w:pPr>
        <w:pStyle w:val="Compact"/>
        <w:numPr>
          <w:ilvl w:val="0"/>
          <w:numId w:val="1001"/>
        </w:numPr>
      </w:pPr>
      <w:r>
        <w:t xml:space="preserve">EPS: ~</w:t>
      </w:r>
      <m:oMath>
        <m:r>
          <m:t>6.60</m:t>
        </m:r>
        <m:r>
          <m:rPr>
            <m:sty m:val="p"/>
          </m:rPr>
          <m:t>–</m:t>
        </m:r>
      </m:oMath>
      <w:r>
        <w:t xml:space="preserve">6.74 (core operating), roughly 8-10% growth vs. Q2 2025's $6.14</w:t>
      </w:r>
    </w:p>
    <w:p>
      <w:pPr>
        <w:pStyle w:val="Compact"/>
        <w:numPr>
          <w:ilvl w:val="0"/>
          <w:numId w:val="1001"/>
        </w:numPr>
      </w:pPr>
      <w:r>
        <w:t xml:space="preserve">Revenue: ~$13.0 billion</w:t>
      </w:r>
    </w:p>
    <w:p>
      <w:pPr>
        <w:pStyle w:val="Compact"/>
        <w:numPr>
          <w:ilvl w:val="0"/>
          <w:numId w:val="1001"/>
        </w:numPr>
      </w:pPr>
      <w:r>
        <w:t xml:space="preserve">Headline P&amp;C combined ratio: ~85.6%–85.9%</w:t>
      </w:r>
    </w:p>
    <w:p>
      <w:pPr>
        <w:pStyle w:val="Compact"/>
        <w:numPr>
          <w:ilvl w:val="0"/>
          <w:numId w:val="1001"/>
        </w:numPr>
      </w:pPr>
      <w:r>
        <w:t xml:space="preserve">Underlying (current accident year ex-cat) combined ratio: ~82.6%</w:t>
      </w:r>
    </w:p>
    <w:p>
      <w:pPr>
        <w:pStyle w:val="Compact"/>
        <w:numPr>
          <w:ilvl w:val="0"/>
          <w:numId w:val="1001"/>
        </w:numPr>
      </w:pPr>
      <w:r>
        <w:t xml:space="preserve">Consolidated net premiums written: +5.5% to ~$14.98 billion</w:t>
      </w:r>
    </w:p>
    <w:p>
      <w:pPr>
        <w:pStyle w:val="FirstParagraph"/>
      </w:pPr>
      <w:r>
        <w:t xml:space="preserve">For context,</w:t>
      </w:r>
      <w:r>
        <w:t xml:space="preserve"> </w:t>
      </w:r>
      <w:r>
        <w:rPr>
          <w:b/>
          <w:bCs/>
        </w:rPr>
        <w:t xml:space="preserve">Q2 2025</w:t>
      </w:r>
      <w:r>
        <w:t xml:space="preserve"> </w:t>
      </w:r>
      <w:r>
        <w:t xml:space="preserve">(last year's comp) was a record quarter: core operating EPS of $6.14 (+14.1% y/y), P&amp;C net premiums written of $12.39 billion (+5.2%), a P&amp;C combined ratio of 85.6% (including 5.5 points of cat losses, $630 million pre-tax), and adjusted net investment income of $1.69 billion (+7.9%).</w:t>
      </w:r>
    </w:p>
    <w:p>
      <w:r>
        <w:pict>
          <v:rect style="width:0;height:1.5pt" o:hralign="center" o:hrstd="t" o:hr="t"/>
        </w:pict>
      </w:r>
    </w:p>
    <w:bookmarkEnd w:id="9"/>
    <w:bookmarkStart w:id="17" w:name="X4e1795ee9da11263aa66d2176c8e46960891b80"/>
    <w:p>
      <w:pPr>
        <w:pStyle w:val="Heading2"/>
      </w:pPr>
      <w:r>
        <w:t xml:space="preserve">2. What to Watch: Key Themes</w:t>
      </w:r>
    </w:p>
    <w:bookmarkStart w:id="10" w:name="X750afea06cf77c565d837066cd9c239c011f9cd"/>
    <w:p>
      <w:pPr>
        <w:pStyle w:val="Heading3"/>
      </w:pPr>
      <w:r>
        <w:t xml:space="preserve">A. The Property Pricing Cycle Is the Central Debate</w:t>
      </w:r>
    </w:p>
    <w:p>
      <w:pPr>
        <w:pStyle w:val="FirstParagraph"/>
      </w:pPr>
      <w:r>
        <w:t xml:space="preserve">On the Q1 2026 call, CEO Evan Greenberg was unusually blunt about the deterioration in large-account/shared-and-layered property pricing, and this will be the top focus for Q2. In Q1, property pricing overall in shared and layered North America and London business was off 25% in the quarter, heading to 30%, and accelerating in that trend, while loss costs were moving at about 4% to 5%. Management's response has been to actively shrink exposure rather than chase price: in North America, property pricing was down 2.6% overall, but down 14.3% in shared and layered major and specialty business, with market pricing for business Chubb passed on down between 30% and 40%. Watch for:</w:t>
      </w:r>
    </w:p>
    <w:p>
      <w:pPr>
        <w:pStyle w:val="Compact"/>
        <w:numPr>
          <w:ilvl w:val="0"/>
          <w:numId w:val="1002"/>
        </w:numPr>
      </w:pPr>
      <w:r>
        <w:t xml:space="preserve">Whether Major Accounts/E&amp;S premium continues to shrink (it was down sharply, with large account property down 55% in Q1) and how much further discipline management is willing to exercise.</w:t>
      </w:r>
    </w:p>
    <w:p>
      <w:pPr>
        <w:pStyle w:val="Compact"/>
        <w:numPr>
          <w:ilvl w:val="0"/>
          <w:numId w:val="1002"/>
        </w:numPr>
      </w:pPr>
      <w:r>
        <w:t xml:space="preserve">Casualty pricing trends — this had been a bright spot, with North America casualty pricing up 9.6%, with rates up 8.4% and exposure up 1.1% in Q1, and management noted no early signs of casualty following property into a competitive spiral.</w:t>
      </w:r>
    </w:p>
    <w:p>
      <w:pPr>
        <w:pStyle w:val="Compact"/>
        <w:numPr>
          <w:ilvl w:val="0"/>
          <w:numId w:val="1002"/>
        </w:numPr>
      </w:pPr>
      <w:r>
        <w:t xml:space="preserve">International retail and financial lines softness, which was already evident in Q1 (international retail P&amp;C rates down 2.5% and financial lines rates down 7.4%).</w:t>
      </w:r>
    </w:p>
    <w:bookmarkEnd w:id="10"/>
    <w:bookmarkStart w:id="11" w:name="Xdd484876738a7aeac0190850f4c2f4a4e239322"/>
    <w:p>
      <w:pPr>
        <w:pStyle w:val="Heading3"/>
      </w:pPr>
      <w:r>
        <w:t xml:space="preserve">B. Catastrophe Losses — Likely a Cleaner Quarter Than 2025</w:t>
      </w:r>
    </w:p>
    <w:p>
      <w:pPr>
        <w:pStyle w:val="FirstParagraph"/>
      </w:pPr>
      <w:r>
        <w:t xml:space="preserve">Unlike Q1 2026 (which still carried elevated cat losses relative to a benign Q1 2025 comp for many peers, though far below the wildfire-driven Q1 2025), the broader industry narrative for Q2 2026 points to a relatively benign catastrophe environment. Global reinsurance broker estimates pegged H1 2026 global insured catastrophe losses well below historical averages, with the quarter's U.S. catastrophe load driven primarily by severe convective storms (SCS) rather than major hurricane or wildfire events. This dynamic — SCS-heavy, primary-insurer-borne losses — should be a swing factor for the reported combined ratio; last year's Q2 comp already included $630 million of pre-tax cat losses (5.5 points of the combined ratio), so the y/y comparison is not a gimme even in a "quiet" quarter.</w:t>
      </w:r>
    </w:p>
    <w:bookmarkEnd w:id="11"/>
    <w:bookmarkStart w:id="12" w:name="Xea3cc31ad639bc89b0b446ac2abf298dfd3d57e"/>
    <w:p>
      <w:pPr>
        <w:pStyle w:val="Heading3"/>
      </w:pPr>
      <w:r>
        <w:t xml:space="preserve">C. Underlying Underwriting Margin Trajectory</w:t>
      </w:r>
    </w:p>
    <w:p>
      <w:pPr>
        <w:pStyle w:val="FirstParagraph"/>
      </w:pPr>
      <w:r>
        <w:t xml:space="preserve">The key number analysts will scrutinize is the</w:t>
      </w:r>
      <w:r>
        <w:t xml:space="preserve"> </w:t>
      </w:r>
      <w:r>
        <w:rPr>
          <w:b/>
          <w:bCs/>
        </w:rPr>
        <w:t xml:space="preserve">current accident year combined ratio excluding catastrophes</w:t>
      </w:r>
      <w:r>
        <w:t xml:space="preserve">, which was 82.1% in Q1 2026 (essentially flat vs. 82.3% in Q1 2025) and 82.3% in Q2 2025. Consensus is modeling ~82.6% for Q2 2026 — a slight deterioration that would reflect mix shift toward consumer/international lines and the drag from shrinking higher-margin large-account property. Segment-level combined ratios to track:</w:t>
      </w:r>
    </w:p>
    <w:p>
      <w:pPr>
        <w:pStyle w:val="Compact"/>
        <w:numPr>
          <w:ilvl w:val="0"/>
          <w:numId w:val="1003"/>
        </w:numPr>
      </w:pPr>
      <w:r>
        <w:rPr>
          <w:b/>
          <w:bCs/>
        </w:rPr>
        <w:t xml:space="preserve">North America Commercial</w:t>
      </w:r>
      <w:r>
        <w:t xml:space="preserve">: 84.0% headline / 81.8% underlying in Q1 2026, pressured by the property pullback.</w:t>
      </w:r>
    </w:p>
    <w:p>
      <w:pPr>
        <w:pStyle w:val="Compact"/>
        <w:numPr>
          <w:ilvl w:val="0"/>
          <w:numId w:val="1003"/>
        </w:numPr>
      </w:pPr>
      <w:r>
        <w:rPr>
          <w:b/>
          <w:bCs/>
        </w:rPr>
        <w:t xml:space="preserve">North America Personal</w:t>
      </w:r>
      <w:r>
        <w:t xml:space="preserve">: was a standout in Q1 (71.3% underlying, aided by continued double-digit homeowners rate increases — up 7.7% in Q1 — and 92% retention).</w:t>
      </w:r>
    </w:p>
    <w:p>
      <w:pPr>
        <w:pStyle w:val="Compact"/>
        <w:numPr>
          <w:ilvl w:val="0"/>
          <w:numId w:val="1003"/>
        </w:numPr>
      </w:pPr>
      <w:r>
        <w:rPr>
          <w:b/>
          <w:bCs/>
        </w:rPr>
        <w:t xml:space="preserve">Overseas General</w:t>
      </w:r>
      <w:r>
        <w:t xml:space="preserve">: 83.6% headline / 85.4% underlying in Q1, benefiting from strong consumer (A&amp;H) growth in Asia, Latin America and Europe.</w:t>
      </w:r>
    </w:p>
    <w:bookmarkEnd w:id="12"/>
    <w:bookmarkStart w:id="13" w:name="X41c7518d7aec6d2ea3287863a517470b55b24e0"/>
    <w:p>
      <w:pPr>
        <w:pStyle w:val="Heading3"/>
      </w:pPr>
      <w:r>
        <w:t xml:space="preserve">D. Growth: Diversification Offsetting Property Runoff</w:t>
      </w:r>
    </w:p>
    <w:p>
      <w:pPr>
        <w:pStyle w:val="FirstParagraph"/>
      </w:pPr>
      <w:r>
        <w:t xml:space="preserve">Total company net premiums grew 10.7% in Q1 2026 to $14.0 billion, with P&amp;C premiums up 7.2% and Life up more than 33%. Growth was powered by consumer lines: Overseas General grew 14.4%, or 6.1% in constant dollars, with consumer-related premiums in international retail up over 20% and Europe growing 17.5%, Asia over 12%, and Latin America almost 18%. For Q2, expect continued strength in consumer/A&amp;H/Life, personal lines (HNW homeowners), and North America middle-market, while headline commercial growth is capped by the deliberate property runoff. Consensus NPW growth of +5.5% (vs. +10.7% in Q1) implicitly assumes the property shrinkage weighs more heavily on the comparison, and Life's growth normalizes off Q1's unusually large Asia single-premium spike (management flagged this as not likely to repeat: "I don't expect to see this kind of growth continue in single premium business... I expect more of growth in regular premium and risk-based product as we go forward in the year").</w:t>
      </w:r>
    </w:p>
    <w:bookmarkEnd w:id="13"/>
    <w:bookmarkStart w:id="14" w:name="e-investment-income--a-steady-tailwind"/>
    <w:p>
      <w:pPr>
        <w:pStyle w:val="Heading3"/>
      </w:pPr>
      <w:r>
        <w:t xml:space="preserve">E. Investment Income — A Steady Tailwind</w:t>
      </w:r>
    </w:p>
    <w:p>
      <w:pPr>
        <w:pStyle w:val="FirstParagraph"/>
      </w:pPr>
      <w:r>
        <w:t xml:space="preserve">Adjusted net investment income has been setting records each quarter, reaching $1.84 billion in Q1 2026 (+10.1% y/y), up more than 10%, aided by an invested asset base of $170 billion (up from</w:t>
      </w:r>
      <w:r>
        <w:t xml:space="preserve"> </w:t>
      </w:r>
      <m:oMath>
        <m:r>
          <m:t>152</m:t>
        </m:r>
        <m:r>
          <m:t>b</m:t>
        </m:r>
        <m:r>
          <m:t>i</m:t>
        </m:r>
        <m:r>
          <m:t>l</m:t>
        </m:r>
        <m:r>
          <m:t>l</m:t>
        </m:r>
        <m:r>
          <m:t>i</m:t>
        </m:r>
        <m:r>
          <m:t>o</m:t>
        </m:r>
        <m:r>
          <m:t>n</m:t>
        </m:r>
        <m:r>
          <m:t>a</m:t>
        </m:r>
        <m:r>
          <m:t>y</m:t>
        </m:r>
        <m:r>
          <m:t>e</m:t>
        </m:r>
        <m:r>
          <m:t>a</m:t>
        </m:r>
        <m:r>
          <m:t>r</m:t>
        </m:r>
        <m:r>
          <m:t>p</m:t>
        </m:r>
        <m:r>
          <m:t>r</m:t>
        </m:r>
        <m:r>
          <m:t>i</m:t>
        </m:r>
        <m:r>
          <m:t>o</m:t>
        </m:r>
        <m:r>
          <m:t>r</m:t>
        </m:r>
        <m:r>
          <m:rPr>
            <m:sty m:val="p"/>
          </m:rPr>
          <m:t>)</m:t>
        </m:r>
        <m:r>
          <m:t>a</m:t>
        </m:r>
        <m:r>
          <m:t>n</m:t>
        </m:r>
        <m:r>
          <m:t>d</m:t>
        </m:r>
        <m:r>
          <m:t>a</m:t>
        </m:r>
        <m:r>
          <m:t>n</m:t>
        </m:r>
        <m:r>
          <m:t>e</m:t>
        </m:r>
        <m:r>
          <m:t>w</m:t>
        </m:r>
        <m:r>
          <m:rPr>
            <m:sty m:val="p"/>
          </m:rPr>
          <m:t>−</m:t>
        </m:r>
        <m:r>
          <m:t>m</m:t>
        </m:r>
        <m:r>
          <m:t>o</m:t>
        </m:r>
        <m:r>
          <m:t>n</m:t>
        </m:r>
        <m:r>
          <m:t>e</m:t>
        </m:r>
        <m:r>
          <m:t>y</m:t>
        </m:r>
        <m:r>
          <m:t>y</m:t>
        </m:r>
        <m:r>
          <m:t>i</m:t>
        </m:r>
        <m:r>
          <m:t>e</m:t>
        </m:r>
        <m:r>
          <m:t>l</m:t>
        </m:r>
        <m:r>
          <m:t>d</m:t>
        </m:r>
        <m:r>
          <m:t>o</m:t>
        </m:r>
        <m:r>
          <m:t>f</m:t>
        </m:r>
        <m:r>
          <m:t>5.5</m:t>
        </m:r>
      </m:oMath>
      <w:r>
        <w:t xml:space="preserve">1.825–$1.85 billion**, essentially flat to Q1 — watch whether private equity/alternative returns and the growing "Strategic Holdings" partnership with KKR provide any upside surprise, a topic raised repeatedly by analysts on the Q1 call.</w:t>
      </w:r>
    </w:p>
    <w:bookmarkEnd w:id="14"/>
    <w:bookmarkStart w:id="15" w:name="f-capital-return-and-balance-sheet"/>
    <w:p>
      <w:pPr>
        <w:pStyle w:val="Heading3"/>
      </w:pPr>
      <w:r>
        <w:t xml:space="preserve">F. Capital Return and Balance Sheet</w:t>
      </w:r>
    </w:p>
    <w:p>
      <w:pPr>
        <w:pStyle w:val="FirstParagraph"/>
      </w:pPr>
      <w:r>
        <w:t xml:space="preserve">Chubb returned</w:t>
      </w:r>
      <w:r>
        <w:t xml:space="preserve"> </w:t>
      </w:r>
      <m:oMath>
        <m:r>
          <m:t>1.52</m:t>
        </m:r>
        <m:r>
          <m:t>b</m:t>
        </m:r>
        <m:r>
          <m:t>i</m:t>
        </m:r>
        <m:r>
          <m:t>l</m:t>
        </m:r>
        <m:r>
          <m:t>l</m:t>
        </m:r>
        <m:r>
          <m:t>i</m:t>
        </m:r>
        <m:r>
          <m:t>o</m:t>
        </m:r>
        <m:r>
          <m:t>n</m:t>
        </m:r>
        <m:r>
          <m:t>t</m:t>
        </m:r>
        <m:r>
          <m:t>o</m:t>
        </m:r>
        <m:r>
          <m:t>s</m:t>
        </m:r>
        <m:r>
          <m:t>h</m:t>
        </m:r>
        <m:r>
          <m:t>a</m:t>
        </m:r>
        <m:r>
          <m:t>r</m:t>
        </m:r>
        <m:r>
          <m:t>e</m:t>
        </m:r>
        <m:r>
          <m:t>h</m:t>
        </m:r>
        <m:r>
          <m:t>o</m:t>
        </m:r>
        <m:r>
          <m:t>l</m:t>
        </m:r>
        <m:r>
          <m:t>d</m:t>
        </m:r>
        <m:r>
          <m:t>e</m:t>
        </m:r>
        <m:r>
          <m:t>r</m:t>
        </m:r>
        <m:r>
          <m:t>s</m:t>
        </m:r>
        <m:r>
          <m:t>i</m:t>
        </m:r>
        <m:r>
          <m:t>n</m:t>
        </m:r>
        <m:r>
          <m:t>Q</m:t>
        </m:r>
        <m:r>
          <m:t>1</m:t>
        </m:r>
        <m:r>
          <m:t>2026</m:t>
        </m:r>
        <m:r>
          <m:rPr>
            <m:sty m:val="p"/>
          </m:rPr>
          <m:t>(</m:t>
        </m:r>
      </m:oMath>
      <w:r>
        <w:t xml:space="preserve">1.14 billion buybacks, $380 million dividends) and ended the quarter with an all-time-high book value of $189.93/share and tangible book value of $126.65/share (tangible BV per share +21.5% y/y). The company also raised its dividend 5.2% to $4.08 annualized in June, marking its 33rd consecutive annual increase. Expect continued disclosure on buyback pace (average Q1 repurchase price was</w:t>
      </w:r>
      <w:r>
        <w:t xml:space="preserve"> </w:t>
      </w:r>
      <m:oMath>
        <m:r>
          <m:t>325.06</m:t>
        </m:r>
        <m:r>
          <m:rPr>
            <m:sty m:val="p"/>
          </m:rPr>
          <m:t>,</m:t>
        </m:r>
        <m:r>
          <m:t>w</m:t>
        </m:r>
        <m:r>
          <m:t>e</m:t>
        </m:r>
        <m:r>
          <m:t>l</m:t>
        </m:r>
        <m:r>
          <m:t>l</m:t>
        </m:r>
        <m:r>
          <m:t>b</m:t>
        </m:r>
        <m:r>
          <m:t>e</m:t>
        </m:r>
        <m:r>
          <m:t>l</m:t>
        </m:r>
        <m:r>
          <m:t>o</m:t>
        </m:r>
        <m:r>
          <m:t>w</m:t>
        </m:r>
        <m:r>
          <m:t>t</m:t>
        </m:r>
        <m:r>
          <m:t>h</m:t>
        </m:r>
        <m:r>
          <m:t>e</m:t>
        </m:r>
        <m:r>
          <m:t>c</m:t>
        </m:r>
        <m:r>
          <m:t>u</m:t>
        </m:r>
        <m:r>
          <m:t>r</m:t>
        </m:r>
        <m:r>
          <m:t>r</m:t>
        </m:r>
        <m:r>
          <m:t>e</m:t>
        </m:r>
        <m:r>
          <m:t>n</m:t>
        </m:r>
        <m:r>
          <m:t>t</m:t>
        </m:r>
        <m:r>
          <m:t> </m:t>
        </m:r>
      </m:oMath>
      <w:r>
        <w:t xml:space="preserve">352 stock price) and any updates to the $7.5 billion authorization.</w:t>
      </w:r>
    </w:p>
    <w:bookmarkEnd w:id="15"/>
    <w:bookmarkStart w:id="16" w:name="g-macrogeopolitical-overhang"/>
    <w:p>
      <w:pPr>
        <w:pStyle w:val="Heading3"/>
      </w:pPr>
      <w:r>
        <w:t xml:space="preserve">G. Macro/Geopolitical Overhang</w:t>
      </w:r>
    </w:p>
    <w:p>
      <w:pPr>
        <w:pStyle w:val="FirstParagraph"/>
      </w:pPr>
      <w:r>
        <w:t xml:space="preserve">Management flagged the Middle East conflict as a source of inflation and growth uncertainty on the Q1 call, though characterized potential insurance impacts as likely "short-term transient." Watch for updates on Chubb's marine war-risk/trade-credit program supporting U.S.-flagged shipping through the Gulf, and any incremental premium contribution. Cyber/AI-related underwriting commentary (vulnerability discovery via LLMs, "Agentics") is also likely to resurface given how prominently it featured in Q1's Q&amp;A.</w:t>
      </w:r>
    </w:p>
    <w:p>
      <w:r>
        <w:pict>
          <v:rect style="width:0;height:1.5pt" o:hralign="center" o:hrstd="t" o:hr="t"/>
        </w:pict>
      </w:r>
    </w:p>
    <w:bookmarkEnd w:id="16"/>
    <w:bookmarkEnd w:id="17"/>
    <w:bookmarkStart w:id="18" w:name="X8a39a0d647aebbaf53266c5306cfb1075983485"/>
    <w:p>
      <w:pPr>
        <w:pStyle w:val="Heading2"/>
      </w:pPr>
      <w:r>
        <w:t xml:space="preserve">3. Key Metrics Scorecard (What "Good" Looks Like)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2025 Actual</w:t>
            </w:r>
          </w:p>
        </w:tc>
        <w:tc>
          <w:tcPr/>
          <w:p>
            <w:pPr>
              <w:pStyle w:val="Compact"/>
            </w:pPr>
            <w:r>
              <w:t xml:space="preserve">Q2 2026 Consensus</w:t>
            </w:r>
          </w:p>
        </w:tc>
        <w:tc>
          <w:tcPr/>
          <w:p>
            <w:pPr>
              <w:pStyle w:val="Compact"/>
            </w:pPr>
            <w:r>
              <w:t xml:space="preserve">Q1 2026 Actual (for trend)</w:t>
            </w:r>
          </w:p>
        </w:tc>
      </w:tr>
      <w:tr>
        <w:tc>
          <w:tcPr/>
          <w:p>
            <w:pPr>
              <w:pStyle w:val="Compact"/>
            </w:pPr>
            <w:r>
              <w:t xml:space="preserve">Core operating EPS</w:t>
            </w:r>
          </w:p>
        </w:tc>
        <w:tc>
          <w:tcPr/>
          <w:p>
            <w:pPr>
              <w:pStyle w:val="Compact"/>
            </w:pPr>
            <w:r>
              <w:t xml:space="preserve">$6.14</w:t>
            </w:r>
          </w:p>
        </w:tc>
        <w:tc>
          <w:tcPr/>
          <w:p>
            <w:pPr>
              <w:pStyle w:val="Compact"/>
            </w:pPr>
            <w:r>
              <w:t xml:space="preserve">~</w:t>
            </w:r>
            <m:oMath>
              <m:r>
                <m:t>6.60</m:t>
              </m:r>
              <m:r>
                <m:rPr>
                  <m:sty m:val="p"/>
                </m:rPr>
                <m:t>–</m:t>
              </m:r>
            </m:oMath>
            <w:r>
              <w:t xml:space="preserve">6.74</w:t>
            </w:r>
          </w:p>
        </w:tc>
        <w:tc>
          <w:tcPr/>
          <w:p>
            <w:pPr>
              <w:pStyle w:val="Compact"/>
            </w:pPr>
            <w:r>
              <w:t xml:space="preserve">$6.82</w:t>
            </w:r>
          </w:p>
        </w:tc>
      </w:tr>
      <w:tr>
        <w:tc>
          <w:tcPr/>
          <w:p>
            <w:pPr>
              <w:pStyle w:val="Compact"/>
            </w:pPr>
            <w:r>
              <w:t xml:space="preserve">P&amp;C combined ratio</w:t>
            </w:r>
          </w:p>
        </w:tc>
        <w:tc>
          <w:tcPr/>
          <w:p>
            <w:pPr>
              <w:pStyle w:val="Compact"/>
            </w:pPr>
            <w:r>
              <w:t xml:space="preserve">85.6%</w:t>
            </w:r>
          </w:p>
        </w:tc>
        <w:tc>
          <w:tcPr/>
          <w:p>
            <w:pPr>
              <w:pStyle w:val="Compact"/>
            </w:pPr>
            <w:r>
              <w:t xml:space="preserve">~85.6%–85.9%</w:t>
            </w:r>
          </w:p>
        </w:tc>
        <w:tc>
          <w:tcPr/>
          <w:p>
            <w:pPr>
              <w:pStyle w:val="Compact"/>
            </w:pPr>
            <w:r>
              <w:t xml:space="preserve">84.0%</w:t>
            </w:r>
          </w:p>
        </w:tc>
      </w:tr>
      <w:tr>
        <w:tc>
          <w:tcPr/>
          <w:p>
            <w:pPr>
              <w:pStyle w:val="Compact"/>
            </w:pPr>
            <w:r>
              <w:t xml:space="preserve">Underlying combined ratio (ex-cat)</w:t>
            </w:r>
          </w:p>
        </w:tc>
        <w:tc>
          <w:tcPr/>
          <w:p>
            <w:pPr>
              <w:pStyle w:val="Compact"/>
            </w:pPr>
            <w:r>
              <w:t xml:space="preserve">82.3%</w:t>
            </w:r>
          </w:p>
        </w:tc>
        <w:tc>
          <w:tcPr/>
          <w:p>
            <w:pPr>
              <w:pStyle w:val="Compact"/>
            </w:pPr>
            <w:r>
              <w:t xml:space="preserve">~82.6%</w:t>
            </w:r>
          </w:p>
        </w:tc>
        <w:tc>
          <w:tcPr/>
          <w:p>
            <w:pPr>
              <w:pStyle w:val="Compact"/>
            </w:pPr>
            <w:r>
              <w:t xml:space="preserve">82.1%</w:t>
            </w:r>
          </w:p>
        </w:tc>
      </w:tr>
      <w:tr>
        <w:tc>
          <w:tcPr/>
          <w:p>
            <w:pPr>
              <w:pStyle w:val="Compact"/>
            </w:pPr>
            <w:r>
              <w:t xml:space="preserve">Consolidated NPW</w:t>
            </w:r>
          </w:p>
        </w:tc>
        <w:tc>
          <w:tcPr/>
          <w:p>
            <w:pPr>
              <w:pStyle w:val="Compact"/>
            </w:pPr>
            <w:r>
              <w:t xml:space="preserve">$14.2B (+6.3%)</w:t>
            </w:r>
          </w:p>
        </w:tc>
        <w:tc>
          <w:tcPr/>
          <w:p>
            <w:pPr>
              <w:pStyle w:val="Compact"/>
            </w:pPr>
            <w:r>
              <w:t xml:space="preserve">~$14.98B (+5.5%)</w:t>
            </w:r>
          </w:p>
        </w:tc>
        <w:tc>
          <w:tcPr/>
          <w:p>
            <w:pPr>
              <w:pStyle w:val="Compact"/>
            </w:pPr>
            <w:r>
              <w:t xml:space="preserve">$14.0B (+10.7%)</w:t>
            </w:r>
          </w:p>
        </w:tc>
      </w:tr>
      <w:tr>
        <w:tc>
          <w:tcPr/>
          <w:p>
            <w:pPr>
              <w:pStyle w:val="Compact"/>
            </w:pPr>
            <w:r>
              <w:t xml:space="preserve">Adjusted net investment income</w:t>
            </w:r>
          </w:p>
        </w:tc>
        <w:tc>
          <w:tcPr/>
          <w:p>
            <w:pPr>
              <w:pStyle w:val="Compact"/>
            </w:pPr>
            <w:r>
              <w:t xml:space="preserve">$1.69B (+7.9%)</w:t>
            </w:r>
          </w:p>
        </w:tc>
        <w:tc>
          <w:tcPr/>
          <w:p>
            <w:pPr>
              <w:pStyle w:val="Compact"/>
            </w:pPr>
            <w:r>
              <w:t xml:space="preserve">~</w:t>
            </w:r>
            <m:oMath>
              <m:r>
                <m:t>1.83</m:t>
              </m:r>
              <m:r>
                <m:rPr>
                  <m:sty m:val="p"/>
                </m:rPr>
                <m:t>–</m:t>
              </m:r>
            </m:oMath>
            <w:r>
              <w:t xml:space="preserve">1.85B (guided)</w:t>
            </w:r>
          </w:p>
        </w:tc>
        <w:tc>
          <w:tcPr/>
          <w:p>
            <w:pPr>
              <w:pStyle w:val="Compact"/>
            </w:pPr>
            <w:r>
              <w:t xml:space="preserve">$1.84B (+10.1%)</w:t>
            </w:r>
          </w:p>
        </w:tc>
      </w:tr>
      <w:tr>
        <w:tc>
          <w:tcPr/>
          <w:p>
            <w:pPr>
              <w:pStyle w:val="Compact"/>
            </w:pPr>
            <w:r>
              <w:t xml:space="preserve">Pre-tax cat losses</w:t>
            </w:r>
          </w:p>
        </w:tc>
        <w:tc>
          <w:tcPr/>
          <w:p>
            <w:pPr>
              <w:pStyle w:val="Compact"/>
            </w:pPr>
            <w:r>
              <w:t xml:space="preserve">$630M</w:t>
            </w:r>
          </w:p>
        </w:tc>
        <w:tc>
          <w:tcPr/>
          <w:p>
            <w:pPr>
              <w:pStyle w:val="Compact"/>
            </w:pPr>
            <w:r>
              <w:t xml:space="preserve">Uncertain — SCS-driven, industry loss quarter modest</w:t>
            </w:r>
          </w:p>
        </w:tc>
        <w:tc>
          <w:tcPr/>
          <w:p>
            <w:pPr>
              <w:pStyle w:val="Compact"/>
            </w:pPr>
            <w:r>
              <w:t xml:space="preserve">$500M</w:t>
            </w:r>
          </w:p>
        </w:tc>
      </w:tr>
    </w:tbl>
    <w:p>
      <w:r>
        <w:pict>
          <v:rect style="width:0;height:1.5pt" o:hralign="center" o:hrstd="t" o:hr="t"/>
        </w:pict>
      </w:r>
    </w:p>
    <w:bookmarkEnd w:id="18"/>
    <w:bookmarkStart w:id="19" w:name="X318abd6e6d975c96889a11cad1a825257da5617"/>
    <w:p>
      <w:pPr>
        <w:pStyle w:val="Heading2"/>
      </w:pPr>
      <w:r>
        <w:t xml:space="preserve">4. Valuation and Positioning Into the Print</w:t>
      </w:r>
    </w:p>
    <w:p>
      <w:pPr>
        <w:pStyle w:val="FirstParagraph"/>
      </w:pPr>
      <w:r>
        <w:t xml:space="preserve">Chubb trades at roughly 12x earnings, in line with the broader U.S. insurance industry but at a premium to some peers, reflecting its underwriting track record, diversification, and consistent tangible book value compounding (21.5% y/y in Q1). With the stock near highs heading into the print, the bar for a positive reaction is arguably higher — the market has already priced in continued execution. Given the pattern of Q1 2026 (an EPS "miss" on higher realized losses despite strong core operating trends, per some analyst commentary), investors should focus less on headline net income (which is exposed to mark-to-market volatility) and more on core operating income, the underlying combined ratio, NII, and management's tone on the pace/duration of the property downcycle — this commentary, more than any single quarter's cat load, is likely to drive the stock's reaction and full-year 2026 outlook framing.</w:t>
      </w:r>
    </w:p>
    <w:p>
      <w:r>
        <w:pict>
          <v:rect style="width:0;height:1.5pt" o:hralign="center" o:hrstd="t" o:hr="t"/>
        </w:pict>
      </w:r>
    </w:p>
    <w:bookmarkEnd w:id="19"/>
    <w:bookmarkStart w:id="20" w:name="X57628814808a35a4369fd5359a6196ebc53c3e9"/>
    <w:p>
      <w:pPr>
        <w:pStyle w:val="Heading2"/>
      </w:pPr>
      <w:r>
        <w:t xml:space="preserve">5. Bottom Line</w:t>
      </w:r>
    </w:p>
    <w:p>
      <w:pPr>
        <w:pStyle w:val="FirstParagraph"/>
      </w:pPr>
      <w:r>
        <w:t xml:space="preserve">Chubb heads into Q2 2026 earnings with a track record of underwriting discipline in a softening property market, durable double-digit growth in consumer/international lines and Life, record investment income, and consistent double-digit tangible book value growth — all core to management's stated confidence in</w:t>
      </w:r>
      <w:r>
        <w:t xml:space="preserve"> </w:t>
      </w:r>
      <w:r>
        <w:rPr>
          <w:b/>
          <w:bCs/>
        </w:rPr>
        <w:t xml:space="preserve">"strong growth in operating earnings, and double-digit growth in EPS and tangible book value"</w:t>
      </w:r>
      <w:r>
        <w:t xml:space="preserve"> </w:t>
      </w:r>
      <w:r>
        <w:t xml:space="preserve">for the year. The key swing factors for tomorrow's report are (1) the magnitude of Q2 catastrophe losses (likely SCS-driven and possibly better than last year's $630 million), (2) whether the underlying combined ratio holds near 82%, and (3) commentary on how much further the company is willing to shrink large-account property exposure as pricing continues to soften.</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2026-07-21T01:04:07Z</dcterms:created>
  <dcterms:modified xsi:type="dcterms:W3CDTF">2026-07-21T01:04:07Z</dcterms:modified>
</cp:coreProperties>
</file>

<file path=docProps/custom.xml><?xml version="1.0" encoding="utf-8"?>
<Properties xmlns="http://schemas.openxmlformats.org/officeDocument/2006/custom-properties" xmlns:vt="http://schemas.openxmlformats.org/officeDocument/2006/docPropsVTypes"/>
</file>