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-earnings-predictions--2026-07-21"/>
    <w:p>
      <w:pPr>
        <w:pStyle w:val="Heading1"/>
      </w:pPr>
      <w:r>
        <w:t xml:space="preserve">CB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~$6.85 vs. cons $6.72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~85.0% vs. cons 85.9%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premiums written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~$14.86B vs. cons $14.98B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net investment income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~$1.86B vs. cons $1.87B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P&amp;C net-premium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~4.5% vs. cons 5.5% (2026H2)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operating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~19.75% vs. cons 19.70%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(FADE)</w:t>
            </w:r>
          </w:p>
        </w:tc>
        <w:tc>
          <w:tcPr/>
          <w:p>
            <w:pPr>
              <w:pStyle w:val="Compact"/>
            </w:pPr>
            <w:r>
              <w:t xml:space="preserve">Day-5 residual ~-0.6% vs. day-1 residual ~+0.8%; an initial EPS and combined-ratio beat fades as softer large-account property volume and slightly lower investment-income guidance pull out-period estimates down.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2026-07-21T00:58:19Z</dcterms:created>
  <dcterms:modified xsi:type="dcterms:W3CDTF">2026-07-21T00:58:19Z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