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chubb-nyse-cb--2026-q2-earnings-preview"/>
    <w:p>
      <w:pPr>
        <w:pStyle w:val="Heading1"/>
      </w:pPr>
      <w:r>
        <w:t xml:space="preserve">Chubb (NYSE: CB) — 2026 Q2 Earnings Preview</w:t>
      </w:r>
    </w:p>
    <w:p>
      <w:pPr>
        <w:pStyle w:val="BlockText"/>
      </w:pPr>
      <w:r>
        <w:rPr>
          <w:b/>
          <w:bCs/>
        </w:rPr>
        <w:t xml:space="preserve">Timing clarification:</w:t>
      </w:r>
      <w:r>
        <w:t xml:space="preserve"> </w:t>
      </w:r>
      <w:r>
        <w:t xml:space="preserve">Chubb is scheduled to release Q2 results</w:t>
      </w:r>
      <w:r>
        <w:t xml:space="preserve"> </w:t>
      </w:r>
      <w:r>
        <w:rPr>
          <w:b/>
          <w:bCs/>
        </w:rPr>
        <w:t xml:space="preserve">after the market closes today, Tuesday, July 21, 2026</w:t>
      </w:r>
      <w:r>
        <w:t xml:space="preserve">. The earnings call is</w:t>
      </w:r>
      <w:r>
        <w:t xml:space="preserve"> </w:t>
      </w:r>
      <w:r>
        <w:rPr>
          <w:b/>
          <w:bCs/>
        </w:rPr>
        <w:t xml:space="preserve">tomorrow, Wednesday, July 22, at 8:30 a.m. Eastern</w:t>
      </w:r>
      <w:r>
        <w:t xml:space="preserve">.</w:t>
      </w:r>
    </w:p>
    <w:bookmarkStart w:id="9" w:name="the-setup"/>
    <w:p>
      <w:pPr>
        <w:pStyle w:val="Heading2"/>
      </w:pPr>
      <w:r>
        <w:t xml:space="preserve">The setup</w:t>
      </w:r>
    </w:p>
    <w:p>
      <w:pPr>
        <w:pStyle w:val="FirstParagraph"/>
      </w:pPr>
      <w:r>
        <w:t xml:space="preserve">Chubb enters the report with strong operating momentum but a higher investor bar. First-quarter results featured an 82.1% underlying P&amp;C combined ratio, double-digit growth in adjusted investment income, and disciplined capital returns. The central question for Q2 is whether Chubb can sustain that profitability while deliberately shrinking inadequately priced large-account property business.</w:t>
      </w:r>
    </w:p>
    <w:p>
      <w:pPr>
        <w:pStyle w:val="BodyText"/>
      </w:pPr>
      <w:r>
        <w:t xml:space="preserve">The stock closed at</w:t>
      </w:r>
      <w:r>
        <w:t xml:space="preserve"> </w:t>
      </w:r>
      <w:r>
        <w:rPr>
          <w:b/>
          <w:bCs/>
        </w:rPr>
        <w:t xml:space="preserve">$352.57 on July 20</w:t>
      </w:r>
      <w:r>
        <w:t xml:space="preserve">, up approximately</w:t>
      </w:r>
      <w:r>
        <w:t xml:space="preserve"> </w:t>
      </w:r>
      <w:r>
        <w:rPr>
          <w:b/>
          <w:bCs/>
        </w:rPr>
        <w:t xml:space="preserve">14% from the beginning of 2026</w:t>
      </w:r>
      <w:r>
        <w:t xml:space="preserve">. That strength suggests investors already expect Chubb’s underwriting discipline and diversified growth profile to protect earnings as parts of the commercial insurance market soften.</w:t>
      </w:r>
    </w:p>
    <w:bookmarkEnd w:id="9"/>
    <w:bookmarkStart w:id="10" w:name="street-expectations"/>
    <w:p>
      <w:pPr>
        <w:pStyle w:val="Heading2"/>
      </w:pPr>
      <w:r>
        <w:t xml:space="preserve">Street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change</w:t>
            </w:r>
          </w:p>
        </w:tc>
      </w:tr>
      <w:tr>
        <w:tc>
          <w:tcPr/>
          <w:p>
            <w:pPr>
              <w:pStyle w:val="Compact"/>
            </w:pPr>
            <w:r>
              <w:t xml:space="preserve">Core operating EPS</w:t>
            </w:r>
          </w:p>
        </w:tc>
        <w:tc>
          <w:tcPr/>
          <w:p>
            <w:pPr>
              <w:pStyle w:val="Compact"/>
              <w:jc w:val="right"/>
            </w:pPr>
            <w:r>
              <w:rPr>
                <w:b/>
                <w:bCs/>
              </w:rPr>
              <w:t xml:space="preserve">~$6.72</w:t>
            </w:r>
          </w:p>
        </w:tc>
        <w:tc>
          <w:tcPr/>
          <w:p>
            <w:pPr>
              <w:pStyle w:val="Compact"/>
              <w:jc w:val="right"/>
            </w:pPr>
            <w:r>
              <w:t xml:space="preserve">$6.14</w:t>
            </w:r>
          </w:p>
        </w:tc>
        <w:tc>
          <w:tcPr/>
          <w:p>
            <w:pPr>
              <w:pStyle w:val="Compact"/>
              <w:jc w:val="right"/>
            </w:pPr>
            <w:r>
              <w:rPr>
                <w:b/>
                <w:bCs/>
              </w:rPr>
              <w:t xml:space="preserve">+9%</w:t>
            </w:r>
          </w:p>
        </w:tc>
      </w:tr>
      <w:tr>
        <w:tc>
          <w:tcPr/>
          <w:p>
            <w:pPr>
              <w:pStyle w:val="Compact"/>
            </w:pPr>
            <w:r>
              <w:t xml:space="preserve">Consolidated net premiums written</w:t>
            </w:r>
          </w:p>
        </w:tc>
        <w:tc>
          <w:tcPr/>
          <w:p>
            <w:pPr>
              <w:pStyle w:val="Compact"/>
              <w:jc w:val="right"/>
            </w:pPr>
            <w:r>
              <w:rPr>
                <w:b/>
                <w:bCs/>
              </w:rPr>
              <w:t xml:space="preserve">~$14.98B</w:t>
            </w:r>
          </w:p>
        </w:tc>
        <w:tc>
          <w:tcPr/>
          <w:p>
            <w:pPr>
              <w:pStyle w:val="Compact"/>
              <w:jc w:val="right"/>
            </w:pPr>
            <w:r>
              <w:t xml:space="preserve">$14.20B</w:t>
            </w:r>
          </w:p>
        </w:tc>
        <w:tc>
          <w:tcPr/>
          <w:p>
            <w:pPr>
              <w:pStyle w:val="Compact"/>
              <w:jc w:val="right"/>
            </w:pPr>
            <w:r>
              <w:rPr>
                <w:b/>
                <w:bCs/>
              </w:rPr>
              <w:t xml:space="preserve">+5.5%</w:t>
            </w:r>
          </w:p>
        </w:tc>
      </w:tr>
      <w:tr>
        <w:tc>
          <w:tcPr/>
          <w:p>
            <w:pPr>
              <w:pStyle w:val="Compact"/>
            </w:pPr>
            <w:r>
              <w:t xml:space="preserve">P&amp;C combined ratio</w:t>
            </w:r>
          </w:p>
        </w:tc>
        <w:tc>
          <w:tcPr/>
          <w:p>
            <w:pPr>
              <w:pStyle w:val="Compact"/>
              <w:jc w:val="right"/>
            </w:pPr>
            <w:r>
              <w:rPr>
                <w:b/>
                <w:bCs/>
              </w:rPr>
              <w:t xml:space="preserve">~85.9%</w:t>
            </w:r>
          </w:p>
        </w:tc>
        <w:tc>
          <w:tcPr/>
          <w:p>
            <w:pPr>
              <w:pStyle w:val="Compact"/>
              <w:jc w:val="right"/>
            </w:pPr>
            <w:r>
              <w:t xml:space="preserve">85.6%</w:t>
            </w:r>
          </w:p>
        </w:tc>
        <w:tc>
          <w:tcPr/>
          <w:p>
            <w:pPr>
              <w:pStyle w:val="Compact"/>
              <w:jc w:val="right"/>
            </w:pPr>
            <w:r>
              <w:t xml:space="preserve">0.3 pts worse</w:t>
            </w:r>
          </w:p>
        </w:tc>
      </w:tr>
      <w:tr>
        <w:tc>
          <w:tcPr/>
          <w:p>
            <w:pPr>
              <w:pStyle w:val="Compact"/>
            </w:pPr>
            <w:r>
              <w:t xml:space="preserve">Underlying combined ratio, ex-CAT/PPD</w:t>
            </w:r>
          </w:p>
        </w:tc>
        <w:tc>
          <w:tcPr/>
          <w:p>
            <w:pPr>
              <w:pStyle w:val="Compact"/>
              <w:jc w:val="right"/>
            </w:pPr>
            <w:r>
              <w:rPr>
                <w:b/>
                <w:bCs/>
              </w:rPr>
              <w:t xml:space="preserve">~82.6%</w:t>
            </w:r>
          </w:p>
        </w:tc>
        <w:tc>
          <w:tcPr/>
          <w:p>
            <w:pPr>
              <w:pStyle w:val="Compact"/>
              <w:jc w:val="right"/>
            </w:pPr>
            <w:r>
              <w:t xml:space="preserve">82.3%</w:t>
            </w:r>
          </w:p>
        </w:tc>
        <w:tc>
          <w:tcPr/>
          <w:p>
            <w:pPr>
              <w:pStyle w:val="Compact"/>
              <w:jc w:val="right"/>
            </w:pPr>
            <w:r>
              <w:t xml:space="preserve">0.3 pts worse</w:t>
            </w:r>
          </w:p>
        </w:tc>
      </w:tr>
    </w:tbl>
    <w:p>
      <w:pPr>
        <w:pStyle w:val="BodyText"/>
      </w:pPr>
      <w:r>
        <w:t xml:space="preserve">Consensus effectively calls for healthy EPS growth despite modest normalization in underwriting margins. The likely drivers are premium growth, higher investment income, and a lower share count.</w:t>
      </w:r>
    </w:p>
    <w:bookmarkEnd w:id="10"/>
    <w:bookmarkStart w:id="17" w:name="what-matters-most"/>
    <w:p>
      <w:pPr>
        <w:pStyle w:val="Heading2"/>
      </w:pPr>
      <w:r>
        <w:t xml:space="preserve">What matters most</w:t>
      </w:r>
    </w:p>
    <w:bookmarkStart w:id="11" w:name="X29f94325ee23ea0f85d60a98bcb7fa38bb9a8ac"/>
    <w:p>
      <w:pPr>
        <w:pStyle w:val="Heading3"/>
      </w:pPr>
      <w:r>
        <w:t xml:space="preserve">1. Property discipline versus premium growth</w:t>
      </w:r>
    </w:p>
    <w:p>
      <w:pPr>
        <w:pStyle w:val="FirstParagraph"/>
      </w:pPr>
      <w:r>
        <w:t xml:space="preserve">Management’s commentary on large-account property will probably be the most important part of the report.</w:t>
      </w:r>
    </w:p>
    <w:p>
      <w:pPr>
        <w:pStyle w:val="BodyText"/>
      </w:pPr>
      <w:r>
        <w:t xml:space="preserve">In Q1, Chubb described property and financial-lines conditions as soft or softening. In shared and layered property, management said broader market pricing had fallen roughly 25% and was heading toward 30%, while loss costs continued to increase. Chubb responded by:</w:t>
      </w:r>
    </w:p>
    <w:p>
      <w:pPr>
        <w:pStyle w:val="Compact"/>
        <w:numPr>
          <w:ilvl w:val="0"/>
          <w:numId w:val="1001"/>
        </w:numPr>
      </w:pPr>
      <w:r>
        <w:t xml:space="preserve">Non-renewing a substantial amount of business</w:t>
      </w:r>
    </w:p>
    <w:p>
      <w:pPr>
        <w:pStyle w:val="Compact"/>
        <w:numPr>
          <w:ilvl w:val="0"/>
          <w:numId w:val="1001"/>
        </w:numPr>
      </w:pPr>
      <w:r>
        <w:t xml:space="preserve">Reducing large-account property exposure</w:t>
      </w:r>
    </w:p>
    <w:p>
      <w:pPr>
        <w:pStyle w:val="Compact"/>
        <w:numPr>
          <w:ilvl w:val="0"/>
          <w:numId w:val="1001"/>
        </w:numPr>
      </w:pPr>
      <w:r>
        <w:t xml:space="preserve">Purchasing additional reinsurance</w:t>
      </w:r>
    </w:p>
    <w:p>
      <w:pPr>
        <w:pStyle w:val="Compact"/>
        <w:numPr>
          <w:ilvl w:val="0"/>
          <w:numId w:val="1001"/>
        </w:numPr>
      </w:pPr>
      <w:r>
        <w:t xml:space="preserve">Prioritizing underwriting margin over reported premium growth</w:t>
      </w:r>
    </w:p>
    <w:p>
      <w:pPr>
        <w:pStyle w:val="FirstParagraph"/>
      </w:pPr>
      <w:r>
        <w:t xml:space="preserve">North America commercial premiums grew only 2.3% in Q1, but growth was approximately 7% excluding the large-account property business Chubb intentionally reduced.</w:t>
      </w:r>
    </w:p>
    <w:p>
      <w:pPr>
        <w:pStyle w:val="BodyText"/>
      </w:pPr>
      <w:r>
        <w:rPr>
          <w:b/>
          <w:bCs/>
        </w:rPr>
        <w:t xml:space="preserve">What investors should watch:</w:t>
      </w:r>
    </w:p>
    <w:p>
      <w:pPr>
        <w:pStyle w:val="Compact"/>
        <w:numPr>
          <w:ilvl w:val="0"/>
          <w:numId w:val="1002"/>
        </w:numPr>
      </w:pPr>
      <w:r>
        <w:t xml:space="preserve">Whether large-account property pricing deteriorated further during Q2</w:t>
      </w:r>
    </w:p>
    <w:p>
      <w:pPr>
        <w:pStyle w:val="Compact"/>
        <w:numPr>
          <w:ilvl w:val="0"/>
          <w:numId w:val="1002"/>
        </w:numPr>
      </w:pPr>
      <w:r>
        <w:t xml:space="preserve">How much exposure Chubb shed or ceded through reinsurance</w:t>
      </w:r>
    </w:p>
    <w:p>
      <w:pPr>
        <w:pStyle w:val="Compact"/>
        <w:numPr>
          <w:ilvl w:val="0"/>
          <w:numId w:val="1002"/>
        </w:numPr>
      </w:pPr>
      <w:r>
        <w:t xml:space="preserve">North America commercial growth excluding large-account property</w:t>
      </w:r>
    </w:p>
    <w:p>
      <w:pPr>
        <w:pStyle w:val="Compact"/>
        <w:numPr>
          <w:ilvl w:val="0"/>
          <w:numId w:val="1002"/>
        </w:numPr>
      </w:pPr>
      <w:r>
        <w:t xml:space="preserve">Whether softer conditions are spreading into middle-market property</w:t>
      </w:r>
    </w:p>
    <w:p>
      <w:pPr>
        <w:pStyle w:val="Compact"/>
        <w:numPr>
          <w:ilvl w:val="0"/>
          <w:numId w:val="1002"/>
        </w:numPr>
      </w:pPr>
      <w:r>
        <w:t xml:space="preserve">Any meaningful deterioration in terms, conditions, deductibles or commissions</w:t>
      </w:r>
    </w:p>
    <w:p>
      <w:pPr>
        <w:pStyle w:val="FirstParagraph"/>
      </w:pPr>
      <w:r>
        <w:t xml:space="preserve">Slower headline premium growth should not automatically be viewed negatively. If it reflects Chubb walking away from inadequately priced property risks while maintaining growth elsewhere, it reinforces the underwriting case. The concern would be softening that spreads into casualty, middle market or other higher-quality franchises.</w:t>
      </w:r>
    </w:p>
    <w:bookmarkEnd w:id="11"/>
    <w:bookmarkStart w:id="12" w:name="X5dae5a36f43023b4d72ba76e4534f6e73c1ffa3"/>
    <w:p>
      <w:pPr>
        <w:pStyle w:val="Heading3"/>
      </w:pPr>
      <w:r>
        <w:t xml:space="preserve">2. Can the underlying combined ratio remain near 82%?</w:t>
      </w:r>
    </w:p>
    <w:p>
      <w:pPr>
        <w:pStyle w:val="FirstParagraph"/>
      </w:pPr>
      <w:r>
        <w:t xml:space="preserve">Chubb’s Q1 underlying combined ratio was</w:t>
      </w:r>
      <w:r>
        <w:t xml:space="preserve"> </w:t>
      </w:r>
      <w:r>
        <w:rPr>
          <w:b/>
          <w:bCs/>
        </w:rPr>
        <w:t xml:space="preserve">82.1%</w:t>
      </w:r>
      <w:r>
        <w:t xml:space="preserve">, compared with 82.3% a year earlier. The Q2 consensus of approximately 82.6% assumes modest deterioration but still exceptional underwriting profitability.</w:t>
      </w:r>
    </w:p>
    <w:p>
      <w:pPr>
        <w:pStyle w:val="BodyText"/>
      </w:pPr>
      <w:r>
        <w:t xml:space="preserve">The composition will be important:</w:t>
      </w:r>
    </w:p>
    <w:p>
      <w:pPr>
        <w:pStyle w:val="Compact"/>
        <w:numPr>
          <w:ilvl w:val="0"/>
          <w:numId w:val="1003"/>
        </w:numPr>
      </w:pPr>
      <w:r>
        <w:rPr>
          <w:b/>
          <w:bCs/>
        </w:rPr>
        <w:t xml:space="preserve">North America personal lines:</w:t>
      </w:r>
      <w:r>
        <w:t xml:space="preserve"> </w:t>
      </w:r>
      <w:r>
        <w:t xml:space="preserve">Q1’s underlying ratio improved to 71.3% from 75.0%, benefiting from earned pricing and better loss performance.</w:t>
      </w:r>
    </w:p>
    <w:p>
      <w:pPr>
        <w:pStyle w:val="Compact"/>
        <w:numPr>
          <w:ilvl w:val="0"/>
          <w:numId w:val="1003"/>
        </w:numPr>
      </w:pPr>
      <w:r>
        <w:rPr>
          <w:b/>
          <w:bCs/>
        </w:rPr>
        <w:t xml:space="preserve">North America commercial:</w:t>
      </w:r>
      <w:r>
        <w:t xml:space="preserve"> </w:t>
      </w:r>
      <w:r>
        <w:t xml:space="preserve">The underlying ratio increased to 81.8% from 81.3%, partly because Chubb reduced highly profitable property business.</w:t>
      </w:r>
    </w:p>
    <w:p>
      <w:pPr>
        <w:pStyle w:val="Compact"/>
        <w:numPr>
          <w:ilvl w:val="0"/>
          <w:numId w:val="1003"/>
        </w:numPr>
      </w:pPr>
      <w:r>
        <w:rPr>
          <w:b/>
          <w:bCs/>
        </w:rPr>
        <w:t xml:space="preserve">Overseas General:</w:t>
      </w:r>
      <w:r>
        <w:t xml:space="preserve"> </w:t>
      </w:r>
      <w:r>
        <w:t xml:space="preserve">The underlying ratio was stable at 85.4%.</w:t>
      </w:r>
    </w:p>
    <w:p>
      <w:pPr>
        <w:pStyle w:val="Compact"/>
        <w:numPr>
          <w:ilvl w:val="0"/>
          <w:numId w:val="1003"/>
        </w:numPr>
      </w:pPr>
      <w:r>
        <w:rPr>
          <w:b/>
          <w:bCs/>
        </w:rPr>
        <w:t xml:space="preserve">Agriculture:</w:t>
      </w:r>
      <w:r>
        <w:t xml:space="preserve"> </w:t>
      </w:r>
      <w:r>
        <w:t xml:space="preserve">This business is seasonally more meaningful in Q2 and can introduce volatility.</w:t>
      </w:r>
    </w:p>
    <w:p>
      <w:pPr>
        <w:pStyle w:val="FirstParagraph"/>
      </w:pPr>
      <w:r>
        <w:t xml:space="preserve">A ratio in the low-82% range, accompanied by continued exposure reduction in underpriced property, would be a strong result. A material increase driven by casualty loss trends or deterioration in personal lines would be more concerning than a mix-related increase caused by shrinking property.</w:t>
      </w:r>
    </w:p>
    <w:bookmarkEnd w:id="12"/>
    <w:bookmarkStart w:id="13" w:name="X939eea8fa3b0b822eb414566bfb2a4747634aab"/>
    <w:p>
      <w:pPr>
        <w:pStyle w:val="Heading3"/>
      </w:pPr>
      <w:r>
        <w:t xml:space="preserve">3. Catastrophe losses and reserve development</w:t>
      </w:r>
    </w:p>
    <w:p>
      <w:pPr>
        <w:pStyle w:val="FirstParagraph"/>
      </w:pPr>
      <w:r>
        <w:t xml:space="preserve">Q2 2025 included</w:t>
      </w:r>
      <w:r>
        <w:t xml:space="preserve"> </w:t>
      </w:r>
      <w:r>
        <w:rPr>
          <w:b/>
          <w:bCs/>
        </w:rPr>
        <w:t xml:space="preserve">$630 million</w:t>
      </w:r>
      <w:r>
        <w:t xml:space="preserve"> </w:t>
      </w:r>
      <w:r>
        <w:t xml:space="preserve">of pretax catastrophe losses, equal to 5.5 percentage points of the combined ratio. Current consensus implies a smaller net drag from catastrophes and prior-period development combined, but these items remain the largest source of quarterly variance.</w:t>
      </w:r>
    </w:p>
    <w:p>
      <w:pPr>
        <w:pStyle w:val="BodyText"/>
      </w:pPr>
      <w:r>
        <w:t xml:space="preserve">Investors should distinguish among:</w:t>
      </w:r>
    </w:p>
    <w:p>
      <w:pPr>
        <w:pStyle w:val="Compact"/>
        <w:numPr>
          <w:ilvl w:val="0"/>
          <w:numId w:val="1004"/>
        </w:numPr>
      </w:pPr>
      <w:r>
        <w:t xml:space="preserve">Reported catastrophe losses</w:t>
      </w:r>
    </w:p>
    <w:p>
      <w:pPr>
        <w:pStyle w:val="Compact"/>
        <w:numPr>
          <w:ilvl w:val="0"/>
          <w:numId w:val="1004"/>
        </w:numPr>
      </w:pPr>
      <w:r>
        <w:t xml:space="preserve">Underlying current-accident-year performance</w:t>
      </w:r>
    </w:p>
    <w:p>
      <w:pPr>
        <w:pStyle w:val="Compact"/>
        <w:numPr>
          <w:ilvl w:val="0"/>
          <w:numId w:val="1004"/>
        </w:numPr>
      </w:pPr>
      <w:r>
        <w:t xml:space="preserve">Prior-period reserve development</w:t>
      </w:r>
    </w:p>
    <w:p>
      <w:pPr>
        <w:pStyle w:val="FirstParagraph"/>
      </w:pPr>
      <w:r>
        <w:t xml:space="preserve">Chubb recorded</w:t>
      </w:r>
      <w:r>
        <w:t xml:space="preserve"> </w:t>
      </w:r>
      <w:r>
        <w:rPr>
          <w:b/>
          <w:bCs/>
        </w:rPr>
        <w:t xml:space="preserve">$286 million of favorable prior-period development</w:t>
      </w:r>
      <w:r>
        <w:t xml:space="preserve"> </w:t>
      </w:r>
      <w:r>
        <w:t xml:space="preserve">in Q1. Within its active companies, favorable short-tail development more than offset modest adverse long-tail development.</w:t>
      </w:r>
    </w:p>
    <w:p>
      <w:pPr>
        <w:pStyle w:val="BodyText"/>
      </w:pPr>
      <w:r>
        <w:t xml:space="preserve">The key reserve question is whether casualty trends remain stable. Management said in April that casualty pricing was generally rational and that lines requiring corrective rate were receiving price above loss-cost trends. Confirmation of that assessment would support confidence in both current margins and the adequacy of older reserves.</w:t>
      </w:r>
    </w:p>
    <w:bookmarkEnd w:id="13"/>
    <w:bookmarkStart w:id="14" w:name="X7cb8088644f91fcd88bca42e17dcc1804603f47"/>
    <w:p>
      <w:pPr>
        <w:pStyle w:val="Heading3"/>
      </w:pPr>
      <w:r>
        <w:t xml:space="preserve">4. Investment income should remain a dependable earnings driver</w:t>
      </w:r>
    </w:p>
    <w:p>
      <w:pPr>
        <w:pStyle w:val="FirstParagraph"/>
      </w:pPr>
      <w:r>
        <w:t xml:space="preserve">Adjusted net investment income was</w:t>
      </w:r>
      <w:r>
        <w:t xml:space="preserve"> </w:t>
      </w:r>
      <m:oMath>
        <m:r>
          <m:t>1.84</m:t>
        </m:r>
        <m:r>
          <m:t>b</m:t>
        </m:r>
        <m:r>
          <m:t>i</m:t>
        </m:r>
        <m:r>
          <m:t>l</m:t>
        </m:r>
        <m:r>
          <m:t>l</m:t>
        </m:r>
        <m:r>
          <m:t>i</m:t>
        </m:r>
        <m:r>
          <m:t>o</m:t>
        </m:r>
        <m:r>
          <m:t>n</m:t>
        </m:r>
        <m:r>
          <m:t>i</m:t>
        </m:r>
        <m:r>
          <m:t>n</m:t>
        </m:r>
        <m:r>
          <m:t>Q</m:t>
        </m:r>
        <m:r>
          <m:t>1</m:t>
        </m:r>
        <m:r>
          <m:rPr>
            <m:sty m:val="p"/>
          </m:rPr>
          <m:t>*</m:t>
        </m:r>
        <m:r>
          <m:rPr>
            <m:sty m:val="p"/>
          </m:rPr>
          <m:t>*</m:t>
        </m:r>
        <m:r>
          <m:rPr>
            <m:sty m:val="p"/>
          </m:rPr>
          <m:t>,</m:t>
        </m:r>
        <m:r>
          <m:t>u</m:t>
        </m:r>
        <m:r>
          <m:t>p</m:t>
        </m:r>
        <m:r>
          <m:t>10</m:t>
        </m:r>
      </m:oMath>
      <w:r>
        <w:rPr>
          <w:b/>
          <w:bCs/>
        </w:rPr>
        <w:t xml:space="preserve">1.825 billion–$1.850 billion</w:t>
      </w:r>
      <w:r>
        <w:t xml:space="preserve">.</w:t>
      </w:r>
    </w:p>
    <w:p>
      <w:pPr>
        <w:pStyle w:val="BodyText"/>
      </w:pPr>
      <w:r>
        <w:t xml:space="preserve">That guidance implies approximately</w:t>
      </w:r>
      <w:r>
        <w:t xml:space="preserve"> </w:t>
      </w:r>
      <w:r>
        <w:rPr>
          <w:b/>
          <w:bCs/>
        </w:rPr>
        <w:t xml:space="preserve">9% growth</w:t>
      </w:r>
      <w:r>
        <w:t xml:space="preserve"> </w:t>
      </w:r>
      <w:r>
        <w:t xml:space="preserve">from Q2 2025’s $1.69 billion. Chubb ended Q1 with roughly $170 billion of investments, while its 5.5% new-money rate remained above the portfolio’s 5.1% fixed-income yield.</w:t>
      </w:r>
    </w:p>
    <w:p>
      <w:pPr>
        <w:pStyle w:val="BodyText"/>
      </w:pPr>
      <w:r>
        <w:t xml:space="preserve">Items to monitor include:</w:t>
      </w:r>
    </w:p>
    <w:p>
      <w:pPr>
        <w:pStyle w:val="Compact"/>
        <w:numPr>
          <w:ilvl w:val="0"/>
          <w:numId w:val="1005"/>
        </w:numPr>
      </w:pPr>
      <w:r>
        <w:t xml:space="preserve">Whether adjusted investment income lands near the high end of guidance</w:t>
      </w:r>
    </w:p>
    <w:p>
      <w:pPr>
        <w:pStyle w:val="Compact"/>
        <w:numPr>
          <w:ilvl w:val="0"/>
          <w:numId w:val="1005"/>
        </w:numPr>
      </w:pPr>
      <w:r>
        <w:t xml:space="preserve">Changes in the new-money rate</w:t>
      </w:r>
    </w:p>
    <w:p>
      <w:pPr>
        <w:pStyle w:val="Compact"/>
        <w:numPr>
          <w:ilvl w:val="0"/>
          <w:numId w:val="1005"/>
        </w:numPr>
      </w:pPr>
      <w:r>
        <w:t xml:space="preserve">Private-equity returns, which can add quarterly variability</w:t>
      </w:r>
    </w:p>
    <w:p>
      <w:pPr>
        <w:pStyle w:val="Compact"/>
        <w:numPr>
          <w:ilvl w:val="0"/>
          <w:numId w:val="1005"/>
        </w:numPr>
      </w:pPr>
      <w:r>
        <w:t xml:space="preserve">Portfolio credit quality and private-credit commentary</w:t>
      </w:r>
    </w:p>
    <w:p>
      <w:pPr>
        <w:pStyle w:val="Compact"/>
        <w:numPr>
          <w:ilvl w:val="0"/>
          <w:numId w:val="1005"/>
        </w:numPr>
      </w:pPr>
      <w:r>
        <w:t xml:space="preserve">The effect of interest rates and credit spreads on book value through AOCI</w:t>
      </w:r>
    </w:p>
    <w:p>
      <w:pPr>
        <w:pStyle w:val="FirstParagraph"/>
      </w:pPr>
      <w:r>
        <w:t xml:space="preserve">Investment income should remain a meaningful buffer against modest P&amp;C pricing pressure.</w:t>
      </w:r>
    </w:p>
    <w:bookmarkEnd w:id="14"/>
    <w:bookmarkStart w:id="15" w:name="Xaea63dc76ed8310fad5b79427d46375449353f2"/>
    <w:p>
      <w:pPr>
        <w:pStyle w:val="Heading3"/>
      </w:pPr>
      <w:r>
        <w:t xml:space="preserve">5. International consumer and life growth</w:t>
      </w:r>
    </w:p>
    <w:p>
      <w:pPr>
        <w:pStyle w:val="FirstParagraph"/>
      </w:pPr>
      <w:r>
        <w:t xml:space="preserve">Chubb’s diversification is increasingly important as large commercial property softens.</w:t>
      </w:r>
    </w:p>
    <w:p>
      <w:pPr>
        <w:pStyle w:val="BodyText"/>
      </w:pPr>
      <w:r>
        <w:t xml:space="preserve">In Q1:</w:t>
      </w:r>
    </w:p>
    <w:p>
      <w:pPr>
        <w:pStyle w:val="Compact"/>
        <w:numPr>
          <w:ilvl w:val="0"/>
          <w:numId w:val="1006"/>
        </w:numPr>
      </w:pPr>
      <w:r>
        <w:t xml:space="preserve">Overseas General premiums grew</w:t>
      </w:r>
      <w:r>
        <w:t xml:space="preserve"> </w:t>
      </w:r>
      <w:r>
        <w:rPr>
          <w:b/>
          <w:bCs/>
        </w:rPr>
        <w:t xml:space="preserve">14.4% reported</w:t>
      </w:r>
      <w:r>
        <w:t xml:space="preserve"> </w:t>
      </w:r>
      <w:r>
        <w:t xml:space="preserve">and</w:t>
      </w:r>
      <w:r>
        <w:t xml:space="preserve"> </w:t>
      </w:r>
      <w:r>
        <w:rPr>
          <w:b/>
          <w:bCs/>
        </w:rPr>
        <w:t xml:space="preserve">6.1% in constant currency</w:t>
      </w:r>
    </w:p>
    <w:p>
      <w:pPr>
        <w:pStyle w:val="Compact"/>
        <w:numPr>
          <w:ilvl w:val="0"/>
          <w:numId w:val="1006"/>
        </w:numPr>
      </w:pPr>
      <w:r>
        <w:t xml:space="preserve">International consumer P&amp;C grew</w:t>
      </w:r>
      <w:r>
        <w:t xml:space="preserve"> </w:t>
      </w:r>
      <w:r>
        <w:rPr>
          <w:b/>
          <w:bCs/>
        </w:rPr>
        <w:t xml:space="preserve">20.5% reported</w:t>
      </w:r>
    </w:p>
    <w:p>
      <w:pPr>
        <w:pStyle w:val="Compact"/>
        <w:numPr>
          <w:ilvl w:val="0"/>
          <w:numId w:val="1006"/>
        </w:numPr>
      </w:pPr>
      <w:r>
        <w:t xml:space="preserve">Life premiums and deposits grew</w:t>
      </w:r>
      <w:r>
        <w:t xml:space="preserve"> </w:t>
      </w:r>
      <w:r>
        <w:rPr>
          <w:b/>
          <w:bCs/>
        </w:rPr>
        <w:t xml:space="preserve">33.1%</w:t>
      </w:r>
    </w:p>
    <w:p>
      <w:pPr>
        <w:pStyle w:val="Compact"/>
        <w:numPr>
          <w:ilvl w:val="0"/>
          <w:numId w:val="1006"/>
        </w:numPr>
      </w:pPr>
      <w:r>
        <w:t xml:space="preserve">Life segment income increased</w:t>
      </w:r>
      <w:r>
        <w:t xml:space="preserve"> </w:t>
      </w:r>
      <w:r>
        <w:rPr>
          <w:b/>
          <w:bCs/>
        </w:rPr>
        <w:t xml:space="preserve">8.5%</w:t>
      </w:r>
    </w:p>
    <w:p>
      <w:pPr>
        <w:pStyle w:val="FirstParagraph"/>
      </w:pPr>
      <w:r>
        <w:t xml:space="preserve">However, Q1 life growth benefited from savings-oriented single-premium sales in Asia. Management explicitly said that pace was unlikely to continue and expected the mix to shift toward regular-premium and risk-based products.</w:t>
      </w:r>
    </w:p>
    <w:p>
      <w:pPr>
        <w:pStyle w:val="BodyText"/>
      </w:pPr>
      <w:r>
        <w:t xml:space="preserve">For Q2, investors should focus less on repeating the 33% premium figure and more on:</w:t>
      </w:r>
    </w:p>
    <w:p>
      <w:pPr>
        <w:pStyle w:val="Compact"/>
        <w:numPr>
          <w:ilvl w:val="0"/>
          <w:numId w:val="1007"/>
        </w:numPr>
      </w:pPr>
      <w:r>
        <w:t xml:space="preserve">International Life segment income</w:t>
      </w:r>
    </w:p>
    <w:p>
      <w:pPr>
        <w:pStyle w:val="Compact"/>
        <w:numPr>
          <w:ilvl w:val="0"/>
          <w:numId w:val="1007"/>
        </w:numPr>
      </w:pPr>
      <w:r>
        <w:t xml:space="preserve">Growth excluding single-premium savings products</w:t>
      </w:r>
    </w:p>
    <w:p>
      <w:pPr>
        <w:pStyle w:val="Compact"/>
        <w:numPr>
          <w:ilvl w:val="0"/>
          <w:numId w:val="1007"/>
        </w:numPr>
      </w:pPr>
      <w:r>
        <w:t xml:space="preserve">Constant-currency growth</w:t>
      </w:r>
    </w:p>
    <w:p>
      <w:pPr>
        <w:pStyle w:val="Compact"/>
        <w:numPr>
          <w:ilvl w:val="0"/>
          <w:numId w:val="1007"/>
        </w:numPr>
      </w:pPr>
      <w:r>
        <w:t xml:space="preserve">Margins and returns on capital</w:t>
      </w:r>
    </w:p>
    <w:p>
      <w:pPr>
        <w:pStyle w:val="Compact"/>
        <w:numPr>
          <w:ilvl w:val="0"/>
          <w:numId w:val="1007"/>
        </w:numPr>
      </w:pPr>
      <w:r>
        <w:t xml:space="preserve">Continued momentum in Chubb’s worksite-benefits business</w:t>
      </w:r>
    </w:p>
    <w:p>
      <w:pPr>
        <w:pStyle w:val="FirstParagraph"/>
      </w:pPr>
      <w:r>
        <w:t xml:space="preserve">Normalization in life premium growth would not be a negative if segment income continues to rise at a healthy rate.</w:t>
      </w:r>
    </w:p>
    <w:bookmarkEnd w:id="15"/>
    <w:bookmarkStart w:id="16" w:name="Xc3b865e94aa0a9511580a4345215e9d0c3d8ef4"/>
    <w:p>
      <w:pPr>
        <w:pStyle w:val="Heading3"/>
      </w:pPr>
      <w:r>
        <w:t xml:space="preserve">6. Capital returns and per-share growth</w:t>
      </w:r>
    </w:p>
    <w:p>
      <w:pPr>
        <w:pStyle w:val="FirstParagraph"/>
      </w:pPr>
      <w:r>
        <w:t xml:space="preserve">Chubb repurchased</w:t>
      </w:r>
      <w:r>
        <w:t xml:space="preserve"> </w:t>
      </w:r>
      <w:r>
        <w:rPr>
          <w:b/>
          <w:bCs/>
        </w:rPr>
        <w:t xml:space="preserve">$1.14 billion</w:t>
      </w:r>
      <w:r>
        <w:t xml:space="preserve"> </w:t>
      </w:r>
      <w:r>
        <w:t xml:space="preserve">of stock in Q1 at an average price of $325.06 and paid $380 million in dividends. Diluted shares declined to 394.6 million from 404.7 million a year earlier, providing roughly 2.5 percentage points of support to year-over-year EPS growth.</w:t>
      </w:r>
    </w:p>
    <w:p>
      <w:pPr>
        <w:pStyle w:val="BodyText"/>
      </w:pPr>
      <w:r>
        <w:t xml:space="preserve">At the July 20 close, the stock traded at approximately:</w:t>
      </w:r>
    </w:p>
    <w:p>
      <w:pPr>
        <w:pStyle w:val="Compact"/>
        <w:numPr>
          <w:ilvl w:val="0"/>
          <w:numId w:val="1008"/>
        </w:numPr>
      </w:pPr>
      <w:r>
        <w:rPr>
          <w:b/>
          <w:bCs/>
        </w:rPr>
        <w:t xml:space="preserve">1.9x Q1 reported book value</w:t>
      </w:r>
    </w:p>
    <w:p>
      <w:pPr>
        <w:pStyle w:val="Compact"/>
        <w:numPr>
          <w:ilvl w:val="0"/>
          <w:numId w:val="1008"/>
        </w:numPr>
      </w:pPr>
      <w:r>
        <w:rPr>
          <w:b/>
          <w:bCs/>
        </w:rPr>
        <w:t xml:space="preserve">1.7x book value excluding AOCI</w:t>
      </w:r>
    </w:p>
    <w:p>
      <w:pPr>
        <w:pStyle w:val="Compact"/>
        <w:numPr>
          <w:ilvl w:val="0"/>
          <w:numId w:val="1008"/>
        </w:numPr>
      </w:pPr>
      <w:r>
        <w:rPr>
          <w:b/>
          <w:bCs/>
        </w:rPr>
        <w:t xml:space="preserve">2.8x tangible book value</w:t>
      </w:r>
    </w:p>
    <w:p>
      <w:pPr>
        <w:pStyle w:val="FirstParagraph"/>
      </w:pPr>
      <w:r>
        <w:t xml:space="preserve">Those are premium multiples for an insurer, reflecting Chubb’s underwriting record, balance-sheet quality and expected book-value compounding. With the valuation elevated, investors will want continued double-digit growth in operating EPS and tangible book value—not merely an EPS beat created by catastrophe variability.</w:t>
      </w:r>
    </w:p>
    <w:bookmarkEnd w:id="16"/>
    <w:bookmarkEnd w:id="17"/>
    <w:bookmarkStart w:id="18" w:name="what-would-constitute-a-strong-report"/>
    <w:p>
      <w:pPr>
        <w:pStyle w:val="Heading2"/>
      </w:pPr>
      <w:r>
        <w:t xml:space="preserve">What would constitute a strong report?</w:t>
      </w:r>
    </w:p>
    <w:p>
      <w:pPr>
        <w:pStyle w:val="FirstParagraph"/>
      </w:pPr>
      <w:r>
        <w:t xml:space="preserve">A clearly positive result would likely include:</w:t>
      </w:r>
    </w:p>
    <w:p>
      <w:pPr>
        <w:pStyle w:val="Compact"/>
        <w:numPr>
          <w:ilvl w:val="0"/>
          <w:numId w:val="1009"/>
        </w:numPr>
      </w:pPr>
      <w:r>
        <w:t xml:space="preserve">Core operating EPS above the roughly $6.72 consensus</w:t>
      </w:r>
    </w:p>
    <w:p>
      <w:pPr>
        <w:pStyle w:val="Compact"/>
        <w:numPr>
          <w:ilvl w:val="0"/>
          <w:numId w:val="1009"/>
        </w:numPr>
      </w:pPr>
      <w:r>
        <w:t xml:space="preserve">Underlying combined ratio at or below approximately 82.5%</w:t>
      </w:r>
    </w:p>
    <w:p>
      <w:pPr>
        <w:pStyle w:val="Compact"/>
        <w:numPr>
          <w:ilvl w:val="0"/>
          <w:numId w:val="1009"/>
        </w:numPr>
      </w:pPr>
      <w:r>
        <w:t xml:space="preserve">Catastrophe losses no worse than expectations</w:t>
      </w:r>
    </w:p>
    <w:p>
      <w:pPr>
        <w:pStyle w:val="Compact"/>
        <w:numPr>
          <w:ilvl w:val="0"/>
          <w:numId w:val="1009"/>
        </w:numPr>
      </w:pPr>
      <w:r>
        <w:t xml:space="preserve">Consolidated premium growth around 5%–6%, with stronger growth excluding deliberately reduced property business</w:t>
      </w:r>
    </w:p>
    <w:p>
      <w:pPr>
        <w:pStyle w:val="Compact"/>
        <w:numPr>
          <w:ilvl w:val="0"/>
          <w:numId w:val="1009"/>
        </w:numPr>
      </w:pPr>
      <w:r>
        <w:t xml:space="preserve">Adjusted investment income near or above $1.85 billion</w:t>
      </w:r>
    </w:p>
    <w:p>
      <w:pPr>
        <w:pStyle w:val="Compact"/>
        <w:numPr>
          <w:ilvl w:val="0"/>
          <w:numId w:val="1009"/>
        </w:numPr>
      </w:pPr>
      <w:r>
        <w:t xml:space="preserve">Continued favorable reserve development without meaningful long-tail deterioration</w:t>
      </w:r>
    </w:p>
    <w:p>
      <w:pPr>
        <w:pStyle w:val="Compact"/>
        <w:numPr>
          <w:ilvl w:val="0"/>
          <w:numId w:val="1009"/>
        </w:numPr>
      </w:pPr>
      <w:r>
        <w:t xml:space="preserve">Management maintaining confidence in double-digit EPS and tangible-book-value growth</w:t>
      </w:r>
    </w:p>
    <w:bookmarkEnd w:id="18"/>
    <w:bookmarkStart w:id="19" w:name="potential-pressure-points"/>
    <w:p>
      <w:pPr>
        <w:pStyle w:val="Heading2"/>
      </w:pPr>
      <w:r>
        <w:t xml:space="preserve">Potential pressure points</w:t>
      </w:r>
    </w:p>
    <w:p>
      <w:pPr>
        <w:pStyle w:val="FirstParagraph"/>
      </w:pPr>
      <w:r>
        <w:t xml:space="preserve">The report could disappoint if:</w:t>
      </w:r>
    </w:p>
    <w:p>
      <w:pPr>
        <w:pStyle w:val="Compact"/>
        <w:numPr>
          <w:ilvl w:val="0"/>
          <w:numId w:val="1010"/>
        </w:numPr>
      </w:pPr>
      <w:r>
        <w:t xml:space="preserve">The underlying combined ratio moves materially above 83%</w:t>
      </w:r>
    </w:p>
    <w:p>
      <w:pPr>
        <w:pStyle w:val="Compact"/>
        <w:numPr>
          <w:ilvl w:val="0"/>
          <w:numId w:val="1010"/>
        </w:numPr>
      </w:pPr>
      <w:r>
        <w:t xml:space="preserve">Casualty loss-cost trends accelerate or reserve development weakens</w:t>
      </w:r>
    </w:p>
    <w:p>
      <w:pPr>
        <w:pStyle w:val="Compact"/>
        <w:numPr>
          <w:ilvl w:val="0"/>
          <w:numId w:val="1010"/>
        </w:numPr>
      </w:pPr>
      <w:r>
        <w:t xml:space="preserve">Property competition spreads into middle-market and small-commercial accounts</w:t>
      </w:r>
    </w:p>
    <w:p>
      <w:pPr>
        <w:pStyle w:val="Compact"/>
        <w:numPr>
          <w:ilvl w:val="0"/>
          <w:numId w:val="1010"/>
        </w:numPr>
      </w:pPr>
      <w:r>
        <w:t xml:space="preserve">Premium growth slows outside the lines Chubb is intentionally shrinking</w:t>
      </w:r>
    </w:p>
    <w:p>
      <w:pPr>
        <w:pStyle w:val="Compact"/>
        <w:numPr>
          <w:ilvl w:val="0"/>
          <w:numId w:val="1010"/>
        </w:numPr>
      </w:pPr>
      <w:r>
        <w:t xml:space="preserve">International growth is mainly currency-driven</w:t>
      </w:r>
    </w:p>
    <w:p>
      <w:pPr>
        <w:pStyle w:val="Compact"/>
        <w:numPr>
          <w:ilvl w:val="0"/>
          <w:numId w:val="1010"/>
        </w:numPr>
      </w:pPr>
      <w:r>
        <w:t xml:space="preserve">Investment income falls below the guided range</w:t>
      </w:r>
    </w:p>
    <w:p>
      <w:pPr>
        <w:pStyle w:val="Compact"/>
        <w:numPr>
          <w:ilvl w:val="0"/>
          <w:numId w:val="1010"/>
        </w:numPr>
      </w:pPr>
      <w:r>
        <w:t xml:space="preserve">Management signals that reinsurance purchases or lost renewals will create a larger growth headwind in the second half</w:t>
      </w:r>
    </w:p>
    <w:bookmarkEnd w:id="19"/>
    <w:bookmarkStart w:id="20" w:name="questions-for-the-call"/>
    <w:p>
      <w:pPr>
        <w:pStyle w:val="Heading2"/>
      </w:pPr>
      <w:r>
        <w:t xml:space="preserve">Questions for the call</w:t>
      </w:r>
    </w:p>
    <w:p>
      <w:pPr>
        <w:pStyle w:val="Compact"/>
        <w:numPr>
          <w:ilvl w:val="0"/>
          <w:numId w:val="1011"/>
        </w:numPr>
      </w:pPr>
      <w:r>
        <w:rPr>
          <w:b/>
          <w:bCs/>
        </w:rPr>
        <w:t xml:space="preserve">How much did shared and layered property pricing decline in Q2, and has the pace of deterioration stabilized?</w:t>
      </w:r>
    </w:p>
    <w:p>
      <w:pPr>
        <w:pStyle w:val="Compact"/>
        <w:numPr>
          <w:ilvl w:val="0"/>
          <w:numId w:val="1011"/>
        </w:numPr>
      </w:pPr>
      <w:r>
        <w:rPr>
          <w:b/>
          <w:bCs/>
        </w:rPr>
        <w:t xml:space="preserve">What was North America commercial premium growth excluding deliberately reduced property business and additional reinsurance?</w:t>
      </w:r>
    </w:p>
    <w:p>
      <w:pPr>
        <w:pStyle w:val="Compact"/>
        <w:numPr>
          <w:ilvl w:val="0"/>
          <w:numId w:val="1011"/>
        </w:numPr>
      </w:pPr>
      <w:r>
        <w:rPr>
          <w:b/>
          <w:bCs/>
        </w:rPr>
        <w:t xml:space="preserve">Is competition spreading from large-account property into middle market, casualty or personal lines?</w:t>
      </w:r>
    </w:p>
    <w:p>
      <w:pPr>
        <w:pStyle w:val="Compact"/>
        <w:numPr>
          <w:ilvl w:val="0"/>
          <w:numId w:val="1011"/>
        </w:numPr>
      </w:pPr>
      <w:r>
        <w:rPr>
          <w:b/>
          <w:bCs/>
        </w:rPr>
        <w:t xml:space="preserve">Are casualty rates still exceeding expected loss-cost trends in the portfolios that need corrective pricing?</w:t>
      </w:r>
    </w:p>
    <w:p>
      <w:pPr>
        <w:pStyle w:val="Compact"/>
        <w:numPr>
          <w:ilvl w:val="0"/>
          <w:numId w:val="1011"/>
        </w:numPr>
      </w:pPr>
      <w:r>
        <w:rPr>
          <w:b/>
          <w:bCs/>
        </w:rPr>
        <w:t xml:space="preserve">How should investors model the premium and earnings effect of additional reinsurance in the second half?</w:t>
      </w:r>
    </w:p>
    <w:p>
      <w:pPr>
        <w:pStyle w:val="Compact"/>
        <w:numPr>
          <w:ilvl w:val="0"/>
          <w:numId w:val="1011"/>
        </w:numPr>
      </w:pPr>
      <w:r>
        <w:rPr>
          <w:b/>
          <w:bCs/>
        </w:rPr>
        <w:t xml:space="preserve">What portion of international and life growth is organic versus foreign-exchange or single-premium driven?</w:t>
      </w:r>
    </w:p>
    <w:p>
      <w:pPr>
        <w:pStyle w:val="Compact"/>
        <w:numPr>
          <w:ilvl w:val="0"/>
          <w:numId w:val="1011"/>
        </w:numPr>
      </w:pPr>
      <w:r>
        <w:rPr>
          <w:b/>
          <w:bCs/>
        </w:rPr>
        <w:t xml:space="preserve">Does the current new-money yield still support high-single-digit investment-income growth beyond Q2?</w:t>
      </w:r>
    </w:p>
    <w:p>
      <w:pPr>
        <w:pStyle w:val="Compact"/>
        <w:numPr>
          <w:ilvl w:val="0"/>
          <w:numId w:val="1011"/>
        </w:numPr>
      </w:pPr>
      <w:r>
        <w:rPr>
          <w:b/>
          <w:bCs/>
        </w:rPr>
        <w:t xml:space="preserve">Has management’s full-year tax-rate expectation of 19.5%–20% changed?</w:t>
      </w:r>
    </w:p>
    <w:bookmarkEnd w:id="20"/>
    <w:bookmarkStart w:id="21" w:name="bottom-line"/>
    <w:p>
      <w:pPr>
        <w:pStyle w:val="Heading2"/>
      </w:pPr>
      <w:r>
        <w:t xml:space="preserve">Bottom line</w:t>
      </w:r>
    </w:p>
    <w:p>
      <w:pPr>
        <w:pStyle w:val="FirstParagraph"/>
      </w:pPr>
      <w:r>
        <w:t xml:space="preserve">The setup is</w:t>
      </w:r>
      <w:r>
        <w:t xml:space="preserve"> </w:t>
      </w:r>
      <w:r>
        <w:rPr>
          <w:b/>
          <w:bCs/>
        </w:rPr>
        <w:t xml:space="preserve">fundamentally constructive but expectation-sensitive</w:t>
      </w:r>
      <w:r>
        <w:t xml:space="preserve">. Chubb does not need rapid headline premium growth to validate the investment case. It needs to demonstrate that it can preserve low-80s underlying combined ratios, redirect capital toward attractive consumer and international opportunities, and continue compounding investment income and book value while competitors chase underpriced property volume.</w:t>
      </w:r>
    </w:p>
    <w:p>
      <w:pPr>
        <w:pStyle w:val="BodyText"/>
      </w:pPr>
      <w:r>
        <w:t xml:space="preserve">The best outcome would be a modest EPS beat paired with disciplined property commentary and stable casualty trends. Conversely, an EPS beat driven primarily by low catastrophe losses would carry less weight if underlying margins deteriorate or management indicates that soft-market conditions are broadening. For the stock, the quality and durability of the underwriting result should matter more than the headline quarterly EPS number.</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2026-07-21T00:58:19Z</dcterms:created>
  <dcterms:modified xsi:type="dcterms:W3CDTF">2026-07-21T00:58:19Z</dcterms:modified>
</cp:coreProperties>
</file>

<file path=docProps/custom.xml><?xml version="1.0" encoding="utf-8"?>
<Properties xmlns="http://schemas.openxmlformats.org/officeDocument/2006/custom-properties" xmlns:vt="http://schemas.openxmlformats.org/officeDocument/2006/docPropsVTypes"/>
</file>