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Chubb Limited (CB)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CB</w:t>
            </w:r>
          </w:p>
        </w:tc>
      </w:tr>
      <w:tr>
        <w:tc>
          <w:tcPr>
            <w:tcW w:type="dxa" w:w="4320"/>
          </w:tcPr>
          <w:p>
            <w:r>
              <w:rPr>
                <w:rFonts w:ascii="Calibri" w:hAnsi="Calibri"/>
                <w:b/>
                <w:sz w:val="22"/>
              </w:rPr>
              <w:t>Upcoming Earnings</w:t>
            </w:r>
          </w:p>
        </w:tc>
        <w:tc>
          <w:tcPr>
            <w:tcW w:type="dxa" w:w="4320"/>
          </w:tcPr>
          <w:p>
            <w:r>
              <w:rPr>
                <w:rFonts w:ascii="Calibri" w:hAnsi="Calibri"/>
                <w:sz w:val="22"/>
              </w:rPr>
              <w:t>Q2 2026 (expected late July 2026)</w:t>
            </w:r>
          </w:p>
        </w:tc>
      </w:tr>
      <w:tr>
        <w:tc>
          <w:tcPr>
            <w:tcW w:type="dxa" w:w="4320"/>
          </w:tcPr>
          <w:p>
            <w:r>
              <w:rPr>
                <w:rFonts w:ascii="Calibri" w:hAnsi="Calibri"/>
                <w:b/>
                <w:sz w:val="22"/>
              </w:rPr>
              <w:t>Last Earnings</w:t>
            </w:r>
          </w:p>
        </w:tc>
        <w:tc>
          <w:tcPr>
            <w:tcW w:type="dxa" w:w="4320"/>
          </w:tcPr>
          <w:p>
            <w:r>
              <w:rPr>
                <w:rFonts w:ascii="Calibri" w:hAnsi="Calibri"/>
                <w:sz w:val="22"/>
              </w:rPr>
              <w:t>Q1 2026 — reported April 22,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Sector</w:t>
            </w:r>
          </w:p>
        </w:tc>
        <w:tc>
          <w:tcPr>
            <w:tcW w:type="dxa" w:w="4320"/>
          </w:tcPr>
          <w:p>
            <w:r>
              <w:rPr>
                <w:rFonts w:ascii="Calibri" w:hAnsi="Calibri"/>
                <w:sz w:val="22"/>
              </w:rPr>
              <w:t>Insurance — Property &amp; Casualty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the bar is achievable on underwriting and investment income, but property market softening and potential cat activity are the key swing factors heading into the print.</w:t>
      </w:r>
    </w:p>
    <w:p>
      <w:r>
        <w:rPr>
          <w:rFonts w:ascii="Calibri" w:hAnsi="Calibri"/>
          <w:color w:val="525866"/>
          <w:sz w:val="22"/>
        </w:rPr>
        <w:t xml:space="preserve">Heading into Q2 2026, Chubb faces a consensus bar that looks manageable but not easy: the street is modeling a combined ratio of ~85.8% and core operating EPS of ~$6.74, both of which represent modest improvement from Q1 2026 actuals (84.0% combined ratio, $6.82 EPS). </w:t>
      </w:r>
      <w:r>
        <w:rPr>
          <w:rFonts w:ascii="Calibri" w:hAnsi="Calibri"/>
          <w:color w:val="525866"/>
          <w:sz w:val="22"/>
        </w:rPr>
        <w:t xml:space="preserve">The single biggest tailwind is investment income, where management guided Q2 to $1.825–$1.85 billion — essentially in line with Q1's $1.84 billion print and well-supported by a $170 billion invested asset base growing at a healthy clip. </w:t>
      </w:r>
      <w:r>
        <w:rPr>
          <w:rFonts w:ascii="Calibri" w:hAnsi="Calibri"/>
          <w:color w:val="525866"/>
          <w:sz w:val="22"/>
        </w:rPr>
        <w:t xml:space="preserve">On the underwriting side, the tone from Q1 was notably more cautious: management described large-account property pricing as "dumb," deliberately shrank that book, and purchased additional reinsurance — actions that should protect the combined ratio but will weigh on commercial P&amp;C premium growth. </w:t>
      </w:r>
      <w:r>
        <w:rPr>
          <w:rFonts w:ascii="Calibri" w:hAnsi="Calibri"/>
          <w:color w:val="525866"/>
          <w:sz w:val="22"/>
        </w:rPr>
        <w:t xml:space="preserve">Estimate revisions have been broadly stable-to-slightly-positive since the Q1 print, suggesting the street has absorbed the property market narrative without panic, and the stock has rallied ~8.3% since Q1 earnings vs. +4.3% for SPY and +10.7% for KIE, implying the market has partially priced in continued execution. </w:t>
      </w:r>
      <w:r>
        <w:rPr>
          <w:rFonts w:ascii="Calibri" w:hAnsi="Calibri"/>
          <w:color w:val="525866"/>
          <w:sz w:val="22"/>
        </w:rPr>
        <w:t>The key wildcard is catastrophe losses: Q2 is seasonally the peak cat quarter, peers (TRV, WRB) have already reported Q2 results with mixed cat outcomes, and Allstate disclosed $1.72 billion in Q2 cat losses — a signal that industry losses were elevated, which could pressure CB's combined ratio above the ~85.8% consensus if CB's cat load comes in above the ~$585 million modeled.</w:t>
      </w:r>
    </w:p>
    <w:p>
      <w:pPr>
        <w:pStyle w:val="ListBullet"/>
        <w:ind w:left="360" w:hanging="360"/>
      </w:pPr>
      <w:r>
        <w:rPr>
          <w:rFonts w:ascii="Calibri" w:hAnsi="Calibri"/>
          <w:b/>
          <w:color w:val="525866"/>
          <w:sz w:val="22"/>
        </w:rPr>
        <w:t xml:space="preserve">Bar: </w:t>
      </w:r>
      <w:r>
        <w:rPr>
          <w:rFonts w:ascii="Calibri" w:hAnsi="Calibri"/>
          <w:color w:val="525866"/>
          <w:sz w:val="22"/>
        </w:rPr>
        <w:t>Consensus is a moderate bar. Core operating EPS consensus of ~$6.74 is below Q1's $6.82 actual, and the combined ratio estimate of ~85.8% is slightly worse than Q1's 84.0% — the street is already baking in some cat normalization and property headwinds, which makes the hurdle achievable.</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Management's posture shifted more cautious on property pricing at Q1 ("dumb" pricing, deliberate book shrinkage, additional reinsurance purchases) while remaining confident on investment income and casualty. No formal EPS guidance was given, but the investment income range of $1.825–$1.85B provides a solid anchor.</w:t>
      </w:r>
    </w:p>
    <w:p>
      <w:pPr>
        <w:pStyle w:val="ListBullet"/>
        <w:ind w:left="360" w:hanging="360"/>
      </w:pPr>
      <w:r>
        <w:rPr>
          <w:rFonts w:ascii="Calibri" w:hAnsi="Calibri"/>
          <w:b/>
          <w:color w:val="525866"/>
          <w:sz w:val="22"/>
        </w:rPr>
        <w:t xml:space="preserve">Estimate Trajectory: </w:t>
      </w:r>
      <w:r>
        <w:rPr>
          <w:rFonts w:ascii="Calibri" w:hAnsi="Calibri"/>
          <w:color w:val="525866"/>
          <w:sz w:val="22"/>
        </w:rPr>
        <w:t>FY2026 EPS consensus of ~$27.07 has been broadly stable post-Q1 earnings, with no meaningful downward revision despite the property market commentary. This suggests the street views the property headwind as manageable given CB's deliberate underwriting discipline and casualty/consumer segment strength.</w:t>
      </w:r>
    </w:p>
    <w:p>
      <w:pPr>
        <w:pStyle w:val="ListBullet"/>
        <w:ind w:left="360" w:hanging="360"/>
      </w:pPr>
      <w:r>
        <w:rPr>
          <w:rFonts w:ascii="Calibri" w:hAnsi="Calibri"/>
          <w:b/>
          <w:color w:val="525866"/>
          <w:sz w:val="22"/>
        </w:rPr>
        <w:t xml:space="preserve">Stock Setup: </w:t>
      </w:r>
      <w:r>
        <w:rPr>
          <w:rFonts w:ascii="Calibri" w:hAnsi="Calibri"/>
          <w:color w:val="525866"/>
          <w:sz w:val="22"/>
        </w:rPr>
        <w:t>CB has rallied ~8.3% since Q1 earnings (vs. +4.3% SPY, +10.7% KIE), trading at ~$352. The stock is not cheap on a historical basis, but the premium reflects improved earnings quality. A clean print with in-line cat losses and investment income at the top of guidance could push the stock higher; a cat miss would likely be the primary downside catalyst.</w:t>
      </w:r>
    </w:p>
    <w:p>
      <w:pPr>
        <w:pStyle w:val="ListBullet"/>
        <w:ind w:left="360" w:hanging="360"/>
      </w:pPr>
      <w:r>
        <w:rPr>
          <w:rFonts w:ascii="Calibri" w:hAnsi="Calibri"/>
          <w:b/>
          <w:color w:val="525866"/>
          <w:sz w:val="22"/>
        </w:rPr>
        <w:t xml:space="preserve">Wildcard: </w:t>
      </w:r>
      <w:r>
        <w:rPr>
          <w:rFonts w:ascii="Calibri" w:hAnsi="Calibri"/>
          <w:color w:val="525866"/>
          <w:sz w:val="22"/>
        </w:rPr>
        <w:t>Catastrophe losses. Q2 is peak cat season, Allstate disclosed $1.72B in Q2 industry cat losses, and TRV/WRB both flagged elevated weather activity. If CB's net cat losses come in materially above the ~$585M consensus, the combined ratio could disappoint even if the underlying ex-cat underwriting remains pristine.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on both EPS and combined ratio, with investment income the most visible anchor. The combined ratio is the bigger swing factor given elevated Q2 cat activity across the industry; ex-cat underwriting should remain strong.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Core Operating EPS ($)</w:t>
            </w:r>
          </w:p>
        </w:tc>
        <w:tc>
          <w:tcPr>
            <w:tcW w:type="dxa" w:w="1234"/>
          </w:tcPr>
          <w:p>
            <w:r>
              <w:rPr>
                <w:rFonts w:ascii="Calibri" w:hAnsi="Calibri"/>
                <w:sz w:val="22"/>
              </w:rPr>
              <w:t>$6.82</w:t>
            </w:r>
          </w:p>
        </w:tc>
        <w:tc>
          <w:tcPr>
            <w:tcW w:type="dxa" w:w="1234"/>
          </w:tcPr>
          <w:p>
            <w:r>
              <w:rPr>
                <w:rFonts w:ascii="Calibri" w:hAnsi="Calibri"/>
                <w:sz w:val="22"/>
              </w:rPr>
              <w:t>$6.14</w:t>
            </w:r>
          </w:p>
        </w:tc>
        <w:tc>
          <w:tcPr>
            <w:tcW w:type="dxa" w:w="1234"/>
          </w:tcPr>
          <w:p>
            <w:r>
              <w:rPr>
                <w:rFonts w:ascii="Calibri" w:hAnsi="Calibri"/>
                <w:sz w:val="22"/>
              </w:rPr>
              <w:t>$6.74</w:t>
            </w:r>
          </w:p>
        </w:tc>
        <w:tc>
          <w:tcPr>
            <w:tcW w:type="dxa" w:w="1234"/>
          </w:tcPr>
          <w:p>
            <w:r>
              <w:rPr>
                <w:rFonts w:ascii="Calibri" w:hAnsi="Calibri"/>
                <w:sz w:val="22"/>
              </w:rPr>
              <w:t>+9.8%</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P&amp;C Net Premiums Written ($B)</w:t>
            </w:r>
          </w:p>
        </w:tc>
        <w:tc>
          <w:tcPr>
            <w:tcW w:type="dxa" w:w="1234"/>
          </w:tcPr>
          <w:p>
            <w:r>
              <w:rPr>
                <w:rFonts w:ascii="Calibri" w:hAnsi="Calibri"/>
                <w:sz w:val="22"/>
              </w:rPr>
              <w:t>$11.72B</w:t>
            </w:r>
          </w:p>
        </w:tc>
        <w:tc>
          <w:tcPr>
            <w:tcW w:type="dxa" w:w="1234"/>
          </w:tcPr>
          <w:p>
            <w:r>
              <w:rPr>
                <w:rFonts w:ascii="Calibri" w:hAnsi="Calibri"/>
                <w:sz w:val="22"/>
              </w:rPr>
              <w:t>$12.39B</w:t>
            </w:r>
          </w:p>
        </w:tc>
        <w:tc>
          <w:tcPr>
            <w:tcW w:type="dxa" w:w="1234"/>
          </w:tcPr>
          <w:p>
            <w:r>
              <w:rPr>
                <w:rFonts w:ascii="Calibri" w:hAnsi="Calibri"/>
                <w:sz w:val="22"/>
              </w:rPr>
              <w:t>$12.97B</w:t>
            </w:r>
          </w:p>
        </w:tc>
        <w:tc>
          <w:tcPr>
            <w:tcW w:type="dxa" w:w="1234"/>
          </w:tcPr>
          <w:p>
            <w:r>
              <w:rPr>
                <w:rFonts w:ascii="Calibri" w:hAnsi="Calibri"/>
                <w:sz w:val="22"/>
              </w:rPr>
              <w:t>+4.7%</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Combined Ratio (%)</w:t>
            </w:r>
          </w:p>
        </w:tc>
        <w:tc>
          <w:tcPr>
            <w:tcW w:type="dxa" w:w="1234"/>
          </w:tcPr>
          <w:p>
            <w:r>
              <w:rPr>
                <w:rFonts w:ascii="Calibri" w:hAnsi="Calibri"/>
                <w:sz w:val="22"/>
              </w:rPr>
              <w:t>84.0%</w:t>
            </w:r>
          </w:p>
        </w:tc>
        <w:tc>
          <w:tcPr>
            <w:tcW w:type="dxa" w:w="1234"/>
          </w:tcPr>
          <w:p>
            <w:r>
              <w:rPr>
                <w:rFonts w:ascii="Calibri" w:hAnsi="Calibri"/>
                <w:sz w:val="22"/>
              </w:rPr>
              <w:t>85.6%</w:t>
            </w:r>
          </w:p>
        </w:tc>
        <w:tc>
          <w:tcPr>
            <w:tcW w:type="dxa" w:w="1234"/>
          </w:tcPr>
          <w:p>
            <w:r>
              <w:rPr>
                <w:rFonts w:ascii="Calibri" w:hAnsi="Calibri"/>
                <w:sz w:val="22"/>
              </w:rPr>
              <w:t>85.8%</w:t>
            </w:r>
          </w:p>
        </w:tc>
        <w:tc>
          <w:tcPr>
            <w:tcW w:type="dxa" w:w="1234"/>
          </w:tcPr>
          <w:p>
            <w:r>
              <w:rPr>
                <w:rFonts w:ascii="Calibri" w:hAnsi="Calibri"/>
                <w:sz w:val="22"/>
              </w:rPr>
              <w:t>+0.2 pts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Combined Ratio ex-Cat &amp; PPD (%)</w:t>
            </w:r>
          </w:p>
        </w:tc>
        <w:tc>
          <w:tcPr>
            <w:tcW w:type="dxa" w:w="1234"/>
          </w:tcPr>
          <w:p>
            <w:r>
              <w:rPr>
                <w:rFonts w:ascii="Calibri" w:hAnsi="Calibri"/>
                <w:sz w:val="22"/>
              </w:rPr>
              <w:t>82.1%</w:t>
            </w:r>
          </w:p>
        </w:tc>
        <w:tc>
          <w:tcPr>
            <w:tcW w:type="dxa" w:w="1234"/>
          </w:tcPr>
          <w:p>
            <w:r>
              <w:rPr>
                <w:rFonts w:ascii="Calibri" w:hAnsi="Calibri"/>
                <w:sz w:val="22"/>
              </w:rPr>
              <w:t>82.3%</w:t>
            </w:r>
          </w:p>
        </w:tc>
        <w:tc>
          <w:tcPr>
            <w:tcW w:type="dxa" w:w="1234"/>
          </w:tcPr>
          <w:p>
            <w:r>
              <w:rPr>
                <w:rFonts w:ascii="Calibri" w:hAnsi="Calibri"/>
                <w:sz w:val="22"/>
              </w:rPr>
              <w:t>82.6%</w:t>
            </w:r>
          </w:p>
        </w:tc>
        <w:tc>
          <w:tcPr>
            <w:tcW w:type="dxa" w:w="1234"/>
          </w:tcPr>
          <w:p>
            <w:r>
              <w:rPr>
                <w:rFonts w:ascii="Calibri" w:hAnsi="Calibri"/>
                <w:sz w:val="22"/>
              </w:rPr>
              <w:t>+0.3 pts</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Adj. Net Investment Income — P&amp;C ($B)</w:t>
            </w:r>
          </w:p>
        </w:tc>
        <w:tc>
          <w:tcPr>
            <w:tcW w:type="dxa" w:w="1234"/>
          </w:tcPr>
          <w:p>
            <w:r>
              <w:rPr>
                <w:rFonts w:ascii="Calibri" w:hAnsi="Calibri"/>
                <w:sz w:val="22"/>
              </w:rPr>
              <w:t>$1.533B</w:t>
            </w:r>
          </w:p>
        </w:tc>
        <w:tc>
          <w:tcPr>
            <w:tcW w:type="dxa" w:w="1234"/>
          </w:tcPr>
          <w:p>
            <w:r>
              <w:rPr>
                <w:rFonts w:ascii="Calibri" w:hAnsi="Calibri"/>
                <w:sz w:val="22"/>
              </w:rPr>
              <w:t>$1.413B</w:t>
            </w:r>
          </w:p>
        </w:tc>
        <w:tc>
          <w:tcPr>
            <w:tcW w:type="dxa" w:w="1234"/>
          </w:tcPr>
          <w:p>
            <w:r>
              <w:rPr>
                <w:rFonts w:ascii="Calibri" w:hAnsi="Calibri"/>
                <w:sz w:val="22"/>
              </w:rPr>
              <w:t>$1.536B</w:t>
            </w:r>
          </w:p>
        </w:tc>
        <w:tc>
          <w:tcPr>
            <w:tcW w:type="dxa" w:w="1234"/>
          </w:tcPr>
          <w:p>
            <w:r>
              <w:rPr>
                <w:rFonts w:ascii="Calibri" w:hAnsi="Calibri"/>
                <w:sz w:val="22"/>
              </w:rPr>
              <w:t>+8.7%</w:t>
            </w:r>
          </w:p>
        </w:tc>
        <w:tc>
          <w:tcPr>
            <w:tcW w:type="dxa" w:w="1234"/>
          </w:tcPr>
          <w:p>
            <w:r>
              <w:rPr>
                <w:rFonts w:ascii="Calibri" w:hAnsi="Calibri"/>
                <w:sz w:val="22"/>
              </w:rPr>
              <w:t>$1.825B–$1.85B (total)</w:t>
            </w:r>
          </w:p>
        </w:tc>
        <w:tc>
          <w:tcPr>
            <w:tcW w:type="dxa" w:w="1234"/>
          </w:tcPr>
          <w:p>
            <w:r>
              <w:rPr>
                <w:rFonts w:ascii="Calibri" w:hAnsi="Calibri"/>
                <w:sz w:val="22"/>
              </w:rPr>
              <w:t>~In line</w:t>
            </w:r>
          </w:p>
        </w:tc>
      </w:tr>
      <w:tr>
        <w:tc>
          <w:tcPr>
            <w:tcW w:type="dxa" w:w="1234"/>
          </w:tcPr>
          <w:p>
            <w:r>
              <w:rPr>
                <w:rFonts w:ascii="Calibri" w:hAnsi="Calibri"/>
                <w:sz w:val="22"/>
              </w:rPr>
              <w:t>Net Cat Losses ($B)</w:t>
            </w:r>
          </w:p>
        </w:tc>
        <w:tc>
          <w:tcPr>
            <w:tcW w:type="dxa" w:w="1234"/>
          </w:tcPr>
          <w:p>
            <w:r>
              <w:rPr>
                <w:rFonts w:ascii="Calibri" w:hAnsi="Calibri"/>
                <w:sz w:val="22"/>
              </w:rPr>
              <w:t>$0.500B</w:t>
            </w:r>
          </w:p>
        </w:tc>
        <w:tc>
          <w:tcPr>
            <w:tcW w:type="dxa" w:w="1234"/>
          </w:tcPr>
          <w:p>
            <w:r>
              <w:rPr>
                <w:rFonts w:ascii="Calibri" w:hAnsi="Calibri"/>
                <w:sz w:val="22"/>
              </w:rPr>
              <w:t>$0.630B</w:t>
            </w:r>
          </w:p>
        </w:tc>
        <w:tc>
          <w:tcPr>
            <w:tcW w:type="dxa" w:w="1234"/>
          </w:tcPr>
          <w:p>
            <w:r>
              <w:rPr>
                <w:rFonts w:ascii="Calibri" w:hAnsi="Calibri"/>
                <w:sz w:val="22"/>
              </w:rPr>
              <w:t>$0.585B</w:t>
            </w:r>
          </w:p>
        </w:tc>
        <w:tc>
          <w:tcPr>
            <w:tcW w:type="dxa" w:w="1234"/>
          </w:tcPr>
          <w:p>
            <w:r>
              <w:rPr>
                <w:rFonts w:ascii="Calibri" w:hAnsi="Calibri"/>
                <w:sz w:val="22"/>
              </w:rPr>
              <w:t>-7.1%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NPW — Commercial ($B)</w:t>
            </w:r>
          </w:p>
        </w:tc>
        <w:tc>
          <w:tcPr>
            <w:tcW w:type="dxa" w:w="1234"/>
          </w:tcPr>
          <w:p>
            <w:r>
              <w:rPr>
                <w:rFonts w:ascii="Calibri" w:hAnsi="Calibri"/>
                <w:sz w:val="22"/>
              </w:rPr>
              <w:t>$4.895B</w:t>
            </w:r>
          </w:p>
        </w:tc>
        <w:tc>
          <w:tcPr>
            <w:tcW w:type="dxa" w:w="1234"/>
          </w:tcPr>
          <w:p>
            <w:r>
              <w:rPr>
                <w:rFonts w:ascii="Calibri" w:hAnsi="Calibri"/>
                <w:sz w:val="22"/>
              </w:rPr>
              <w:t>$5.723B</w:t>
            </w:r>
          </w:p>
        </w:tc>
        <w:tc>
          <w:tcPr>
            <w:tcW w:type="dxa" w:w="1234"/>
          </w:tcPr>
          <w:p>
            <w:r>
              <w:rPr>
                <w:rFonts w:ascii="Calibri" w:hAnsi="Calibri"/>
                <w:sz w:val="22"/>
              </w:rPr>
              <w:t>$5.851B</w:t>
            </w:r>
          </w:p>
        </w:tc>
        <w:tc>
          <w:tcPr>
            <w:tcW w:type="dxa" w:w="1234"/>
          </w:tcPr>
          <w:p>
            <w:r>
              <w:rPr>
                <w:rFonts w:ascii="Calibri" w:hAnsi="Calibri"/>
                <w:sz w:val="22"/>
              </w:rPr>
              <w:t>+2.2%</w:t>
            </w:r>
          </w:p>
        </w:tc>
        <w:tc>
          <w:tcPr>
            <w:tcW w:type="dxa" w:w="1234"/>
          </w:tcPr>
          <w:p>
            <w:r>
              <w:rPr>
                <w:rFonts w:ascii="Calibri" w:hAnsi="Calibri"/>
                <w:sz w:val="22"/>
              </w:rPr>
              <w:t>Deliberate shrinkage in large-acct property</w:t>
            </w:r>
          </w:p>
        </w:tc>
        <w:tc>
          <w:tcPr>
            <w:tcW w:type="dxa" w:w="1234"/>
          </w:tcPr>
          <w:p>
            <w:r>
              <w:rPr>
                <w:rFonts w:ascii="Calibri" w:hAnsi="Calibri"/>
                <w:sz w:val="22"/>
              </w:rPr>
              <w:t>N/A</w:t>
            </w:r>
          </w:p>
        </w:tc>
      </w:tr>
      <w:tr>
        <w:tc>
          <w:tcPr>
            <w:tcW w:type="dxa" w:w="1234"/>
          </w:tcPr>
          <w:p>
            <w:r>
              <w:rPr>
                <w:rFonts w:ascii="Calibri" w:hAnsi="Calibri"/>
                <w:sz w:val="22"/>
              </w:rPr>
              <w:t>NPW — Personal ($B)</w:t>
            </w:r>
          </w:p>
        </w:tc>
        <w:tc>
          <w:tcPr>
            <w:tcW w:type="dxa" w:w="1234"/>
          </w:tcPr>
          <w:p>
            <w:r>
              <w:rPr>
                <w:rFonts w:ascii="Calibri" w:hAnsi="Calibri"/>
                <w:sz w:val="22"/>
              </w:rPr>
              <w:t>$1.681B</w:t>
            </w:r>
          </w:p>
        </w:tc>
        <w:tc>
          <w:tcPr>
            <w:tcW w:type="dxa" w:w="1234"/>
          </w:tcPr>
          <w:p>
            <w:r>
              <w:rPr>
                <w:rFonts w:ascii="Calibri" w:hAnsi="Calibri"/>
                <w:sz w:val="22"/>
              </w:rPr>
              <w:t>$1.938B</w:t>
            </w:r>
          </w:p>
        </w:tc>
        <w:tc>
          <w:tcPr>
            <w:tcW w:type="dxa" w:w="1234"/>
          </w:tcPr>
          <w:p>
            <w:r>
              <w:rPr>
                <w:rFonts w:ascii="Calibri" w:hAnsi="Calibri"/>
                <w:sz w:val="22"/>
              </w:rPr>
              <w:t>$2.051B</w:t>
            </w:r>
          </w:p>
        </w:tc>
        <w:tc>
          <w:tcPr>
            <w:tcW w:type="dxa" w:w="1234"/>
          </w:tcPr>
          <w:p>
            <w:r>
              <w:rPr>
                <w:rFonts w:ascii="Calibri" w:hAnsi="Calibri"/>
                <w:sz w:val="22"/>
              </w:rPr>
              <w:t>+5.8%</w:t>
            </w:r>
          </w:p>
        </w:tc>
        <w:tc>
          <w:tcPr>
            <w:tcW w:type="dxa" w:w="1234"/>
          </w:tcPr>
          <w:p>
            <w:r>
              <w:rPr>
                <w:rFonts w:ascii="Calibri" w:hAnsi="Calibri"/>
                <w:sz w:val="22"/>
              </w:rPr>
              <w:t>Growth expected; homeowners pricing +7.7%</w:t>
            </w:r>
          </w:p>
        </w:tc>
        <w:tc>
          <w:tcPr>
            <w:tcW w:type="dxa" w:w="1234"/>
          </w:tcPr>
          <w:p>
            <w:r>
              <w:rPr>
                <w:rFonts w:ascii="Calibri" w:hAnsi="Calibri"/>
                <w:sz w:val="22"/>
              </w:rPr>
              <w:t>N/A</w:t>
            </w:r>
          </w:p>
        </w:tc>
      </w:tr>
      <w:tr>
        <w:tc>
          <w:tcPr>
            <w:tcW w:type="dxa" w:w="1234"/>
          </w:tcPr>
          <w:p>
            <w:r>
              <w:rPr>
                <w:rFonts w:ascii="Calibri" w:hAnsi="Calibri"/>
                <w:sz w:val="22"/>
              </w:rPr>
              <w:t>NPW — Overseas ($B)</w:t>
            </w:r>
          </w:p>
        </w:tc>
        <w:tc>
          <w:tcPr>
            <w:tcW w:type="dxa" w:w="1234"/>
          </w:tcPr>
          <w:p>
            <w:r>
              <w:rPr>
                <w:rFonts w:ascii="Calibri" w:hAnsi="Calibri"/>
                <w:sz w:val="22"/>
              </w:rPr>
              <w:t>$4.466B</w:t>
            </w:r>
          </w:p>
        </w:tc>
        <w:tc>
          <w:tcPr>
            <w:tcW w:type="dxa" w:w="1234"/>
          </w:tcPr>
          <w:p>
            <w:r>
              <w:rPr>
                <w:rFonts w:ascii="Calibri" w:hAnsi="Calibri"/>
                <w:sz w:val="22"/>
              </w:rPr>
              <w:t>$3.620B</w:t>
            </w:r>
          </w:p>
        </w:tc>
        <w:tc>
          <w:tcPr>
            <w:tcW w:type="dxa" w:w="1234"/>
          </w:tcPr>
          <w:p>
            <w:r>
              <w:rPr>
                <w:rFonts w:ascii="Calibri" w:hAnsi="Calibri"/>
                <w:sz w:val="22"/>
              </w:rPr>
              <w:t>$3.936B</w:t>
            </w:r>
          </w:p>
        </w:tc>
        <w:tc>
          <w:tcPr>
            <w:tcW w:type="dxa" w:w="1234"/>
          </w:tcPr>
          <w:p>
            <w:r>
              <w:rPr>
                <w:rFonts w:ascii="Calibri" w:hAnsi="Calibri"/>
                <w:sz w:val="22"/>
              </w:rPr>
              <w:t>+8.7%</w:t>
            </w:r>
          </w:p>
        </w:tc>
        <w:tc>
          <w:tcPr>
            <w:tcW w:type="dxa" w:w="1234"/>
          </w:tcPr>
          <w:p>
            <w:r>
              <w:rPr>
                <w:rFonts w:ascii="Calibri" w:hAnsi="Calibri"/>
                <w:sz w:val="22"/>
              </w:rPr>
              <w:t>International growth expected to continue</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actuals and Q2 2025 actuals from Visible Alpha. Q2 2026 consensus estimates from Visible Alpha. Investment income guidance from CB Q1 2026 earnings call (April 22, 2026). Note: Total adjusted net investment income guidance of $1.825B–$1.85B is company-wide; P&amp;C segment consensus of $1.536B is the Visible Alpha P&amp;C segment estimate.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Core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$6.82</w:t>
            </w:r>
          </w:p>
        </w:tc>
        <w:tc>
          <w:tcPr>
            <w:tcW w:type="dxa" w:w="1728"/>
          </w:tcPr>
          <w:p>
            <w:r>
              <w:rPr>
                <w:rFonts w:ascii="Calibri" w:hAnsi="Calibri"/>
                <w:sz w:val="22"/>
              </w:rPr>
              <w:t>$6.59</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$7.52</w:t>
            </w:r>
          </w:p>
        </w:tc>
        <w:tc>
          <w:tcPr>
            <w:tcW w:type="dxa" w:w="1728"/>
          </w:tcPr>
          <w:p>
            <w:r>
              <w:rPr>
                <w:rFonts w:ascii="Calibri" w:hAnsi="Calibri"/>
                <w:sz w:val="22"/>
              </w:rPr>
              <w:t>$6.75</w:t>
            </w:r>
          </w:p>
        </w:tc>
        <w:tc>
          <w:tcPr>
            <w:tcW w:type="dxa" w:w="1728"/>
          </w:tcPr>
          <w:p>
            <w:r>
              <w:rPr>
                <w:rFonts w:ascii="Calibri" w:hAnsi="Calibri"/>
                <w:b/>
                <w:color w:val="30A46C"/>
                <w:sz w:val="22"/>
              </w:rPr>
              <w:t>+11.4%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$7.49</w:t>
            </w:r>
          </w:p>
        </w:tc>
        <w:tc>
          <w:tcPr>
            <w:tcW w:type="dxa" w:w="1728"/>
          </w:tcPr>
          <w:p>
            <w:r>
              <w:rPr>
                <w:rFonts w:ascii="Calibri" w:hAnsi="Calibri"/>
                <w:sz w:val="22"/>
              </w:rPr>
              <w:t>$6.08</w:t>
            </w:r>
          </w:p>
        </w:tc>
        <w:tc>
          <w:tcPr>
            <w:tcW w:type="dxa" w:w="1728"/>
          </w:tcPr>
          <w:p>
            <w:r>
              <w:rPr>
                <w:rFonts w:ascii="Calibri" w:hAnsi="Calibri"/>
                <w:b/>
                <w:color w:val="30A46C"/>
                <w:sz w:val="22"/>
              </w:rPr>
              <w:t>+23.2%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$6.14</w:t>
            </w:r>
          </w:p>
        </w:tc>
        <w:tc>
          <w:tcPr>
            <w:tcW w:type="dxa" w:w="1728"/>
          </w:tcPr>
          <w:p>
            <w:r>
              <w:rPr>
                <w:rFonts w:ascii="Calibri" w:hAnsi="Calibri"/>
                <w:sz w:val="22"/>
              </w:rPr>
              <w:t>$5.97</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$3.69</w:t>
            </w:r>
          </w:p>
        </w:tc>
        <w:tc>
          <w:tcPr>
            <w:tcW w:type="dxa" w:w="1728"/>
          </w:tcPr>
          <w:p>
            <w:r>
              <w:rPr>
                <w:rFonts w:ascii="Calibri" w:hAnsi="Calibri"/>
                <w:sz w:val="22"/>
              </w:rPr>
              <w:t>$3.16</w:t>
            </w:r>
          </w:p>
        </w:tc>
        <w:tc>
          <w:tcPr>
            <w:tcW w:type="dxa" w:w="1728"/>
          </w:tcPr>
          <w:p>
            <w:r>
              <w:rPr>
                <w:rFonts w:ascii="Calibri" w:hAnsi="Calibri"/>
                <w:b/>
                <w:color w:val="30A46C"/>
                <w:sz w:val="22"/>
              </w:rPr>
              <w:t>+16.8%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$6.02</w:t>
            </w:r>
          </w:p>
        </w:tc>
        <w:tc>
          <w:tcPr>
            <w:tcW w:type="dxa" w:w="1728"/>
          </w:tcPr>
          <w:p>
            <w:r>
              <w:rPr>
                <w:rFonts w:ascii="Calibri" w:hAnsi="Calibri"/>
                <w:sz w:val="22"/>
              </w:rPr>
              <w:t>$5.42</w:t>
            </w:r>
          </w:p>
        </w:tc>
        <w:tc>
          <w:tcPr>
            <w:tcW w:type="dxa" w:w="1728"/>
          </w:tcPr>
          <w:p>
            <w:r>
              <w:rPr>
                <w:rFonts w:ascii="Calibri" w:hAnsi="Calibri"/>
                <w:b/>
                <w:color w:val="30A46C"/>
                <w:sz w:val="22"/>
              </w:rPr>
              <w:t>+11.1%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$5.72</w:t>
            </w:r>
          </w:p>
        </w:tc>
        <w:tc>
          <w:tcPr>
            <w:tcW w:type="dxa" w:w="1728"/>
          </w:tcPr>
          <w:p>
            <w:r>
              <w:rPr>
                <w:rFonts w:ascii="Calibri" w:hAnsi="Calibri"/>
                <w:sz w:val="22"/>
              </w:rPr>
              <w:t>$5.00</w:t>
            </w:r>
          </w:p>
        </w:tc>
        <w:tc>
          <w:tcPr>
            <w:tcW w:type="dxa" w:w="1728"/>
          </w:tcPr>
          <w:p>
            <w:r>
              <w:rPr>
                <w:rFonts w:ascii="Calibri" w:hAnsi="Calibri"/>
                <w:b/>
                <w:color w:val="30A46C"/>
                <w:sz w:val="22"/>
              </w:rPr>
              <w:t>+14.4%</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$5.37</w:t>
            </w:r>
          </w:p>
        </w:tc>
        <w:tc>
          <w:tcPr>
            <w:tcW w:type="dxa" w:w="1728"/>
          </w:tcPr>
          <w:p>
            <w:r>
              <w:rPr>
                <w:rFonts w:ascii="Calibri" w:hAnsi="Calibri"/>
                <w:sz w:val="22"/>
              </w:rPr>
              <w:t>$5.18</w:t>
            </w:r>
          </w:p>
        </w:tc>
        <w:tc>
          <w:tcPr>
            <w:tcW w:type="dxa" w:w="1728"/>
          </w:tcPr>
          <w:p>
            <w:r>
              <w:rPr>
                <w:rFonts w:ascii="Calibri" w:hAnsi="Calibri"/>
                <w:b/>
                <w:color w:val="30A46C"/>
                <w:sz w:val="22"/>
              </w:rPr>
              <w:t>+3.7%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CB has beaten core operating EPS consensus in each of the last 8 consecutive quarters, with an average surprise of ~10.9% — a remarkably consistent track record that sets a high implicit expectation bar even when the stated consensus looks achievable.</w:t>
      </w:r>
    </w:p>
    <w:p>
      <w:pPr>
        <w:pStyle w:val="Heading4"/>
      </w:pPr>
      <w:r>
        <w:rPr>
          <w:rFonts w:ascii="Calibri" w:hAnsi="Calibri"/>
          <w:b/>
          <w:color w:val="3B4259"/>
          <w:sz w:val="22"/>
        </w:rPr>
        <w:t>P&amp;C Combined Ratio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84.0%</w:t>
            </w:r>
          </w:p>
        </w:tc>
        <w:tc>
          <w:tcPr>
            <w:tcW w:type="dxa" w:w="1728"/>
          </w:tcPr>
          <w:p>
            <w:r>
              <w:rPr>
                <w:rFonts w:ascii="Calibri" w:hAnsi="Calibri"/>
                <w:sz w:val="22"/>
              </w:rPr>
              <w:t>85.3%</w:t>
            </w:r>
          </w:p>
        </w:tc>
        <w:tc>
          <w:tcPr>
            <w:tcW w:type="dxa" w:w="1728"/>
          </w:tcPr>
          <w:p>
            <w:r>
              <w:rPr>
                <w:rFonts w:ascii="Calibri" w:hAnsi="Calibri"/>
                <w:b/>
                <w:color w:val="30A46C"/>
                <w:sz w:val="22"/>
              </w:rPr>
              <w:t>-1.3 pts</w:t>
            </w:r>
          </w:p>
        </w:tc>
        <w:tc>
          <w:tcPr>
            <w:tcW w:type="dxa" w:w="1728"/>
          </w:tcPr>
          <w:p>
            <w:r>
              <w:rPr>
                <w:rFonts w:ascii="Calibri" w:hAnsi="Calibri"/>
                <w:sz w:val="22"/>
              </w:rPr>
              <w:t>Beat (lower is better)</w:t>
            </w:r>
          </w:p>
        </w:tc>
      </w:tr>
      <w:tr>
        <w:tc>
          <w:tcPr>
            <w:tcW w:type="dxa" w:w="1728"/>
          </w:tcPr>
          <w:p>
            <w:r>
              <w:rPr>
                <w:rFonts w:ascii="Calibri" w:hAnsi="Calibri"/>
                <w:sz w:val="22"/>
              </w:rPr>
              <w:t>Q4 2025</w:t>
            </w:r>
          </w:p>
        </w:tc>
        <w:tc>
          <w:tcPr>
            <w:tcW w:type="dxa" w:w="1728"/>
          </w:tcPr>
          <w:p>
            <w:r>
              <w:rPr>
                <w:rFonts w:ascii="Calibri" w:hAnsi="Calibri"/>
                <w:sz w:val="22"/>
              </w:rPr>
              <w:t>81.2%</w:t>
            </w:r>
          </w:p>
        </w:tc>
        <w:tc>
          <w:tcPr>
            <w:tcW w:type="dxa" w:w="1728"/>
          </w:tcPr>
          <w:p>
            <w:r>
              <w:rPr>
                <w:rFonts w:ascii="Calibri" w:hAnsi="Calibri"/>
                <w:sz w:val="22"/>
              </w:rPr>
              <w:t>84.4%</w:t>
            </w:r>
          </w:p>
        </w:tc>
        <w:tc>
          <w:tcPr>
            <w:tcW w:type="dxa" w:w="1728"/>
          </w:tcPr>
          <w:p>
            <w:r>
              <w:rPr>
                <w:rFonts w:ascii="Calibri" w:hAnsi="Calibri"/>
                <w:b/>
                <w:color w:val="30A46C"/>
                <w:sz w:val="22"/>
              </w:rPr>
              <w:t>-3.2 pts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81.8%</w:t>
            </w:r>
          </w:p>
        </w:tc>
        <w:tc>
          <w:tcPr>
            <w:tcW w:type="dxa" w:w="1728"/>
          </w:tcPr>
          <w:p>
            <w:r>
              <w:rPr>
                <w:rFonts w:ascii="Calibri" w:hAnsi="Calibri"/>
                <w:sz w:val="22"/>
              </w:rPr>
              <w:t>87.5%</w:t>
            </w:r>
          </w:p>
        </w:tc>
        <w:tc>
          <w:tcPr>
            <w:tcW w:type="dxa" w:w="1728"/>
          </w:tcPr>
          <w:p>
            <w:r>
              <w:rPr>
                <w:rFonts w:ascii="Calibri" w:hAnsi="Calibri"/>
                <w:b/>
                <w:color w:val="30A46C"/>
                <w:sz w:val="22"/>
              </w:rPr>
              <w:t>-5.7 pts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85.6%</w:t>
            </w:r>
          </w:p>
        </w:tc>
        <w:tc>
          <w:tcPr>
            <w:tcW w:type="dxa" w:w="1728"/>
          </w:tcPr>
          <w:p>
            <w:r>
              <w:rPr>
                <w:rFonts w:ascii="Calibri" w:hAnsi="Calibri"/>
                <w:sz w:val="22"/>
              </w:rPr>
              <w:t>86.5%</w:t>
            </w:r>
          </w:p>
        </w:tc>
        <w:tc>
          <w:tcPr>
            <w:tcW w:type="dxa" w:w="1728"/>
          </w:tcPr>
          <w:p>
            <w:r>
              <w:rPr>
                <w:rFonts w:ascii="Calibri" w:hAnsi="Calibri"/>
                <w:b/>
                <w:color w:val="30A46C"/>
                <w:sz w:val="22"/>
              </w:rPr>
              <w:t>-0.9 pts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95.7%</w:t>
            </w:r>
          </w:p>
        </w:tc>
        <w:tc>
          <w:tcPr>
            <w:tcW w:type="dxa" w:w="1728"/>
          </w:tcPr>
          <w:p>
            <w:r>
              <w:rPr>
                <w:rFonts w:ascii="Calibri" w:hAnsi="Calibri"/>
                <w:sz w:val="22"/>
              </w:rPr>
              <w:t>98.9%</w:t>
            </w:r>
          </w:p>
        </w:tc>
        <w:tc>
          <w:tcPr>
            <w:tcW w:type="dxa" w:w="1728"/>
          </w:tcPr>
          <w:p>
            <w:r>
              <w:rPr>
                <w:rFonts w:ascii="Calibri" w:hAnsi="Calibri"/>
                <w:b/>
                <w:color w:val="30A46C"/>
                <w:sz w:val="22"/>
              </w:rPr>
              <w:t>-3.2 pts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85.7%</w:t>
            </w:r>
          </w:p>
        </w:tc>
        <w:tc>
          <w:tcPr>
            <w:tcW w:type="dxa" w:w="1728"/>
          </w:tcPr>
          <w:p>
            <w:r>
              <w:rPr>
                <w:rFonts w:ascii="Calibri" w:hAnsi="Calibri"/>
                <w:sz w:val="22"/>
              </w:rPr>
              <w:t>88.3%</w:t>
            </w:r>
          </w:p>
        </w:tc>
        <w:tc>
          <w:tcPr>
            <w:tcW w:type="dxa" w:w="1728"/>
          </w:tcPr>
          <w:p>
            <w:r>
              <w:rPr>
                <w:rFonts w:ascii="Calibri" w:hAnsi="Calibri"/>
                <w:b/>
                <w:color w:val="30A46C"/>
                <w:sz w:val="22"/>
              </w:rPr>
              <w:t>-2.6 pts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87.7%</w:t>
            </w:r>
          </w:p>
        </w:tc>
        <w:tc>
          <w:tcPr>
            <w:tcW w:type="dxa" w:w="1728"/>
          </w:tcPr>
          <w:p>
            <w:r>
              <w:rPr>
                <w:rFonts w:ascii="Calibri" w:hAnsi="Calibri"/>
                <w:sz w:val="22"/>
              </w:rPr>
              <w:t>90.3%</w:t>
            </w:r>
          </w:p>
        </w:tc>
        <w:tc>
          <w:tcPr>
            <w:tcW w:type="dxa" w:w="1728"/>
          </w:tcPr>
          <w:p>
            <w:r>
              <w:rPr>
                <w:rFonts w:ascii="Calibri" w:hAnsi="Calibri"/>
                <w:b/>
                <w:color w:val="30A46C"/>
                <w:sz w:val="22"/>
              </w:rPr>
              <w:t>-2.6 pts</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86.8%</w:t>
            </w:r>
          </w:p>
        </w:tc>
        <w:tc>
          <w:tcPr>
            <w:tcW w:type="dxa" w:w="1728"/>
          </w:tcPr>
          <w:p>
            <w:r>
              <w:rPr>
                <w:rFonts w:ascii="Calibri" w:hAnsi="Calibri"/>
                <w:sz w:val="22"/>
              </w:rPr>
              <w:t>87.9%</w:t>
            </w:r>
          </w:p>
        </w:tc>
        <w:tc>
          <w:tcPr>
            <w:tcW w:type="dxa" w:w="1728"/>
          </w:tcPr>
          <w:p>
            <w:r>
              <w:rPr>
                <w:rFonts w:ascii="Calibri" w:hAnsi="Calibri"/>
                <w:b/>
                <w:color w:val="30A46C"/>
                <w:sz w:val="22"/>
              </w:rPr>
              <w:t>-1.1 pts</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CB has beaten the combined ratio consensus in all 8 of the last 8 quarters, with an average beat of ~2.7 percentage points — the street consistently underestimates Chubb's underwriting discipline. The Q2 2026 consensus of 85.8% may again prove conservative if cat losses are manageable, but elevated industry cat activity (Allstate disclosed $1.72B in Q2 cat losses) introduces genuine downside risk to this pattern.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more cautious on property pricing since Q1 2026, but investment income guidance is firm and casualty/consumer segments remain constructive. The baseline is the Q1 2026 earnings call (April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Guidance / Commentary (Baseline)</w:t>
            </w:r>
          </w:p>
        </w:tc>
        <w:tc>
          <w:tcPr>
            <w:tcW w:type="dxa" w:w="2160"/>
            <w:shd w:val="clear" w:color="auto" w:fill="3B4259"/>
          </w:tcPr>
          <w:p>
            <w:r>
              <w:rPr>
                <w:rFonts w:ascii="Calibri" w:hAnsi="Calibri"/>
                <w:b/>
                <w:color w:val="FFFFFF"/>
                <w:sz w:val="22"/>
              </w:rPr>
              <w:t>Revised / Updated Guidance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Adjusted Net Investment Income (Q2 2026)</w:t>
            </w:r>
          </w:p>
        </w:tc>
        <w:tc>
          <w:tcPr>
            <w:tcW w:type="dxa" w:w="2160"/>
          </w:tcPr>
          <w:p>
            <w:r>
              <w:rPr>
                <w:rFonts w:ascii="Calibri" w:hAnsi="Calibri"/>
                <w:sz w:val="22"/>
              </w:rPr>
              <w:t>$1.825B–$1.85B for Q2 2026; Q1 came in at $1.84B (top of prior range). Fixed income portfolio yield 5.1%; new money rate 5.5%. Invested assets at $170B, up from $152B a year ago.</w:t>
            </w:r>
          </w:p>
        </w:tc>
        <w:tc>
          <w:tcPr>
            <w:tcW w:type="dxa" w:w="2160"/>
          </w:tcPr>
          <w:p>
            <w:r>
              <w:rPr>
                <w:rFonts w:ascii="Calibri" w:hAnsi="Calibri"/>
                <w:sz w:val="22"/>
              </w:rPr>
              <w:t>No revision since Q1 earnings. Guidance stands.</w:t>
            </w:r>
          </w:p>
        </w:tc>
        <w:tc>
          <w:tcPr>
            <w:tcW w:type="dxa" w:w="2160"/>
          </w:tcPr>
          <w:p>
            <w:r>
              <w:rPr>
                <w:rFonts w:ascii="Calibri" w:hAnsi="Calibri"/>
                <w:sz w:val="22"/>
              </w:rPr>
              <w:t>Unchanged →</w:t>
            </w:r>
          </w:p>
        </w:tc>
      </w:tr>
      <w:tr>
        <w:tc>
          <w:tcPr>
            <w:tcW w:type="dxa" w:w="2160"/>
          </w:tcPr>
          <w:p>
            <w:r>
              <w:rPr>
                <w:rFonts w:ascii="Calibri" w:hAnsi="Calibri"/>
                <w:sz w:val="22"/>
              </w:rPr>
              <w:t>Property Pricing / Large Account</w:t>
            </w:r>
          </w:p>
        </w:tc>
        <w:tc>
          <w:tcPr>
            <w:tcW w:type="dxa" w:w="2160"/>
          </w:tcPr>
          <w:p>
            <w:r>
              <w:rPr>
                <w:rFonts w:ascii="Calibri" w:hAnsi="Calibri"/>
                <w:sz w:val="22"/>
              </w:rPr>
              <w:t>Described large-account and London wholesale property pricing as "dumb." NA property rates down 2.6% (down 6.3% in shared/layered major &amp; specialty). Market pricing for business CB passed on was down 30–40%. Deliberately shrank open market property book.</w:t>
            </w:r>
          </w:p>
        </w:tc>
        <w:tc>
          <w:tcPr>
            <w:tcW w:type="dxa" w:w="2160"/>
          </w:tcPr>
          <w:p>
            <w:r>
              <w:rPr>
                <w:rFonts w:ascii="Calibri" w:hAnsi="Calibri"/>
                <w:sz w:val="22"/>
              </w:rPr>
              <w:t>No formal update post-Q1. Peer commentary (TRV, WRB Q2 2026) confirms continued property softening in shared/layered; WRB called it "the greatest stupidity in the property arena."</w:t>
            </w:r>
          </w:p>
        </w:tc>
        <w:tc>
          <w:tcPr>
            <w:tcW w:type="dxa" w:w="2160"/>
          </w:tcPr>
          <w:p>
            <w:r>
              <w:rPr>
                <w:rFonts w:ascii="Calibri" w:hAnsi="Calibri"/>
                <w:sz w:val="22"/>
              </w:rPr>
              <w:t>Cautious ↓</w:t>
            </w:r>
          </w:p>
        </w:tc>
      </w:tr>
      <w:tr>
        <w:tc>
          <w:tcPr>
            <w:tcW w:type="dxa" w:w="2160"/>
          </w:tcPr>
          <w:p>
            <w:r>
              <w:rPr>
                <w:rFonts w:ascii="Calibri" w:hAnsi="Calibri"/>
                <w:sz w:val="22"/>
              </w:rPr>
              <w:t>Casualty Pricing</w:t>
            </w:r>
          </w:p>
        </w:tc>
        <w:tc>
          <w:tcPr>
            <w:tcW w:type="dxa" w:w="2160"/>
          </w:tcPr>
          <w:p>
            <w:r>
              <w:rPr>
                <w:rFonts w:ascii="Calibri" w:hAnsi="Calibri"/>
                <w:sz w:val="22"/>
              </w:rPr>
              <w:t>NA casualty pricing up 9.6% (rates +8.4%, exposure +1.1%). Loss cost trend unchanged. Casualty market described as constructive.</w:t>
            </w:r>
          </w:p>
        </w:tc>
        <w:tc>
          <w:tcPr>
            <w:tcW w:type="dxa" w:w="2160"/>
          </w:tcPr>
          <w:p>
            <w:r>
              <w:rPr>
                <w:rFonts w:ascii="Calibri" w:hAnsi="Calibri"/>
                <w:sz w:val="22"/>
              </w:rPr>
              <w:t>No formal update. Peer commentary (WRB Q2 2026) confirms broader casualty market remains attractive with a few isolated pockets of concern (habitational, liquor).</w:t>
            </w:r>
          </w:p>
        </w:tc>
        <w:tc>
          <w:tcPr>
            <w:tcW w:type="dxa" w:w="2160"/>
          </w:tcPr>
          <w:p>
            <w:r>
              <w:rPr>
                <w:rFonts w:ascii="Calibri" w:hAnsi="Calibri"/>
                <w:sz w:val="22"/>
              </w:rPr>
              <w:t>Stable →</w:t>
            </w:r>
          </w:p>
        </w:tc>
      </w:tr>
      <w:tr>
        <w:tc>
          <w:tcPr>
            <w:tcW w:type="dxa" w:w="2160"/>
          </w:tcPr>
          <w:p>
            <w:r>
              <w:rPr>
                <w:rFonts w:ascii="Calibri" w:hAnsi="Calibri"/>
                <w:sz w:val="22"/>
              </w:rPr>
              <w:t>Combined Ratio Outlook</w:t>
            </w:r>
          </w:p>
        </w:tc>
        <w:tc>
          <w:tcPr>
            <w:tcW w:type="dxa" w:w="2160"/>
          </w:tcPr>
          <w:p>
            <w:r>
              <w:rPr>
                <w:rFonts w:ascii="Calibri" w:hAnsi="Calibri"/>
                <w:sz w:val="22"/>
              </w:rPr>
              <w:t>Q1 P&amp;C combined ratio 84.0%; ex-cat 82.1%. Management sees no "new business penalty" from property book shrinkage — shedding inadequately priced business is margin-accretive.</w:t>
            </w:r>
          </w:p>
        </w:tc>
        <w:tc>
          <w:tcPr>
            <w:tcW w:type="dxa" w:w="2160"/>
          </w:tcPr>
          <w:p>
            <w:r>
              <w:rPr>
                <w:rFonts w:ascii="Calibri" w:hAnsi="Calibri"/>
                <w:sz w:val="22"/>
              </w:rPr>
              <w:t>No formal update. Q2 cat activity elevated per peers (ALL $1.72B Q2 cat losses; TRV Q2 results). Consensus models 85.8% for Q2.</w:t>
            </w:r>
          </w:p>
        </w:tc>
        <w:tc>
          <w:tcPr>
            <w:tcW w:type="dxa" w:w="2160"/>
          </w:tcPr>
          <w:p>
            <w:r>
              <w:rPr>
                <w:rFonts w:ascii="Calibri" w:hAnsi="Calibri"/>
                <w:sz w:val="22"/>
              </w:rPr>
              <w:t>Slight risk ↓</w:t>
            </w:r>
          </w:p>
        </w:tc>
      </w:tr>
      <w:tr>
        <w:tc>
          <w:tcPr>
            <w:tcW w:type="dxa" w:w="2160"/>
          </w:tcPr>
          <w:p>
            <w:r>
              <w:rPr>
                <w:rFonts w:ascii="Calibri" w:hAnsi="Calibri"/>
                <w:sz w:val="22"/>
              </w:rPr>
              <w:t>Premium Growth — Commercial</w:t>
            </w:r>
          </w:p>
        </w:tc>
        <w:tc>
          <w:tcPr>
            <w:tcW w:type="dxa" w:w="2160"/>
          </w:tcPr>
          <w:p>
            <w:r>
              <w:rPr>
                <w:rFonts w:ascii="Calibri" w:hAnsi="Calibri"/>
                <w:sz w:val="22"/>
              </w:rPr>
              <w:t>Deliberate shrinkage in large-account property and London wholesale. Middle market and small commercial property pricing up 1.5%. Casualty growth remains strong.</w:t>
            </w:r>
          </w:p>
        </w:tc>
        <w:tc>
          <w:tcPr>
            <w:tcW w:type="dxa" w:w="2160"/>
          </w:tcPr>
          <w:p>
            <w:r>
              <w:rPr>
                <w:rFonts w:ascii="Calibri" w:hAnsi="Calibri"/>
                <w:sz w:val="22"/>
              </w:rPr>
              <w:t>No formal update. Consensus models Q2 commercial NPW of $5.85B vs. $5.72B in Q2 2025 (+2.2% YoY).</w:t>
            </w:r>
          </w:p>
        </w:tc>
        <w:tc>
          <w:tcPr>
            <w:tcW w:type="dxa" w:w="2160"/>
          </w:tcPr>
          <w:p>
            <w:r>
              <w:rPr>
                <w:rFonts w:ascii="Calibri" w:hAnsi="Calibri"/>
                <w:sz w:val="22"/>
              </w:rPr>
              <w:t>Cautious ↓</w:t>
            </w:r>
          </w:p>
        </w:tc>
      </w:tr>
      <w:tr>
        <w:tc>
          <w:tcPr>
            <w:tcW w:type="dxa" w:w="2160"/>
          </w:tcPr>
          <w:p>
            <w:r>
              <w:rPr>
                <w:rFonts w:ascii="Calibri" w:hAnsi="Calibri"/>
                <w:sz w:val="22"/>
              </w:rPr>
              <w:t>Premium Growth — Personal / Consumer</w:t>
            </w:r>
          </w:p>
        </w:tc>
        <w:tc>
          <w:tcPr>
            <w:tcW w:type="dxa" w:w="2160"/>
          </w:tcPr>
          <w:p>
            <w:r>
              <w:rPr>
                <w:rFonts w:ascii="Calibri" w:hAnsi="Calibri"/>
                <w:sz w:val="22"/>
              </w:rPr>
              <w:t>Homeowners pricing up 7.7% in Q1. Consumer and international life segments accelerating. Management expects significant growth in small commercial (AI-enabled) over next 5 years.</w:t>
            </w:r>
          </w:p>
        </w:tc>
        <w:tc>
          <w:tcPr>
            <w:tcW w:type="dxa" w:w="2160"/>
          </w:tcPr>
          <w:p>
            <w:r>
              <w:rPr>
                <w:rFonts w:ascii="Calibri" w:hAnsi="Calibri"/>
                <w:sz w:val="22"/>
              </w:rPr>
              <w:t>No formal update. Consensus models Q2 personal NPW of $2.05B vs. $1.94B in Q2 2025 (+5.8% YoY).</w:t>
            </w:r>
          </w:p>
        </w:tc>
        <w:tc>
          <w:tcPr>
            <w:tcW w:type="dxa" w:w="2160"/>
          </w:tcPr>
          <w:p>
            <w:r>
              <w:rPr>
                <w:rFonts w:ascii="Calibri" w:hAnsi="Calibri"/>
                <w:sz w:val="22"/>
              </w:rPr>
              <w:t>Constructive ↑</w:t>
            </w:r>
          </w:p>
        </w:tc>
      </w:tr>
      <w:tr>
        <w:tc>
          <w:tcPr>
            <w:tcW w:type="dxa" w:w="2160"/>
          </w:tcPr>
          <w:p>
            <w:r>
              <w:rPr>
                <w:rFonts w:ascii="Calibri" w:hAnsi="Calibri"/>
                <w:sz w:val="22"/>
              </w:rPr>
              <w:t>Capital Deployment / Buybacks</w:t>
            </w:r>
          </w:p>
        </w:tc>
        <w:tc>
          <w:tcPr>
            <w:tcW w:type="dxa" w:w="2160"/>
          </w:tcPr>
          <w:p>
            <w:r>
              <w:rPr>
                <w:rFonts w:ascii="Calibri" w:hAnsi="Calibri"/>
                <w:sz w:val="22"/>
              </w:rPr>
              <w:t>Purchased additional reinsurance in NA property to manage exposure. Continued buyback activity. Stock viewed as trading "well below intrinsic value."</w:t>
            </w:r>
          </w:p>
        </w:tc>
        <w:tc>
          <w:tcPr>
            <w:tcW w:type="dxa" w:w="2160"/>
          </w:tcPr>
          <w:p>
            <w:r>
              <w:rPr>
                <w:rFonts w:ascii="Calibri" w:hAnsi="Calibri"/>
                <w:sz w:val="22"/>
              </w:rPr>
              <w:t>No formal update. One insider sale (EVP Ortega, 3,886 shares on June 8, 2026) — not a significant signal.</w:t>
            </w:r>
          </w:p>
        </w:tc>
        <w:tc>
          <w:tcPr>
            <w:tcW w:type="dxa" w:w="2160"/>
          </w:tcPr>
          <w:p>
            <w:r>
              <w:rPr>
                <w:rFonts w:ascii="Calibri" w:hAnsi="Calibri"/>
                <w:sz w:val="22"/>
              </w:rPr>
              <w:t>Unchanged →</w:t>
            </w:r>
          </w:p>
        </w:tc>
      </w:tr>
      <w:tr>
        <w:tc>
          <w:tcPr>
            <w:tcW w:type="dxa" w:w="2160"/>
          </w:tcPr>
          <w:p>
            <w:r>
              <w:rPr>
                <w:rFonts w:ascii="Calibri" w:hAnsi="Calibri"/>
                <w:sz w:val="22"/>
              </w:rPr>
              <w:t>Macro / Geopolitical</w:t>
            </w:r>
          </w:p>
        </w:tc>
        <w:tc>
          <w:tcPr>
            <w:tcW w:type="dxa" w:w="2160"/>
          </w:tcPr>
          <w:p>
            <w:r>
              <w:rPr>
                <w:rFonts w:ascii="Calibri" w:hAnsi="Calibri"/>
                <w:sz w:val="22"/>
              </w:rPr>
              <w:t>Introduced explicit macro uncertainty commentary in Q1 2026 — Middle East conflict, potential inflationary pressures from supply chain disruption, energy costs, fiscal/sovereign stress. Tone cautious but not alarmed.</w:t>
            </w:r>
          </w:p>
        </w:tc>
        <w:tc>
          <w:tcPr>
            <w:tcW w:type="dxa" w:w="2160"/>
          </w:tcPr>
          <w:p>
            <w:r>
              <w:rPr>
                <w:rFonts w:ascii="Calibri" w:hAnsi="Calibri"/>
                <w:sz w:val="22"/>
              </w:rPr>
              <w:t>No formal update. Macro uncertainty persists; CB's diversification and balance sheet cited as resilience factors.</w:t>
            </w:r>
          </w:p>
        </w:tc>
        <w:tc>
          <w:tcPr>
            <w:tcW w:type="dxa" w:w="2160"/>
          </w:tcPr>
          <w:p>
            <w:r>
              <w:rPr>
                <w:rFonts w:ascii="Calibri" w:hAnsi="Calibri"/>
                <w:sz w:val="22"/>
              </w:rPr>
              <w:t>Cautious ↓</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broadly stable-to-slightly-positive since Q1 2026 earnings, with no meaningful downward pressure despite the property market headwind narrative. The street appears to have absorbed the cautious property commentary without revising down materially.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w:t>
            </w:r>
          </w:p>
        </w:tc>
        <w:tc>
          <w:tcPr>
            <w:tcW w:type="dxa" w:w="1728"/>
            <w:shd w:val="clear" w:color="auto" w:fill="3B4259"/>
          </w:tcPr>
          <w:p>
            <w:r>
              <w:rPr>
                <w:rFonts w:ascii="Calibri" w:hAnsi="Calibri"/>
                <w:b/>
                <w:color w:val="FFFFFF"/>
                <w:sz w:val="22"/>
              </w:rPr>
              <w:t>Current Q2 2026 Consensus</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Core Operating EPS (Q2 2026)</w:t>
            </w:r>
          </w:p>
        </w:tc>
        <w:tc>
          <w:tcPr>
            <w:tcW w:type="dxa" w:w="1728"/>
          </w:tcPr>
          <w:p>
            <w:r>
              <w:rPr>
                <w:rFonts w:ascii="Calibri" w:hAnsi="Calibri"/>
                <w:sz w:val="22"/>
              </w:rPr>
              <w:t>~$6.59 (Q1 2026 pre-print consensus)</w:t>
            </w:r>
          </w:p>
        </w:tc>
        <w:tc>
          <w:tcPr>
            <w:tcW w:type="dxa" w:w="1728"/>
          </w:tcPr>
          <w:p>
            <w:r>
              <w:rPr>
                <w:rFonts w:ascii="Calibri" w:hAnsi="Calibri"/>
                <w:sz w:val="22"/>
              </w:rPr>
              <w:t>$6.74</w:t>
            </w:r>
          </w:p>
        </w:tc>
        <w:tc>
          <w:tcPr>
            <w:tcW w:type="dxa" w:w="1728"/>
          </w:tcPr>
          <w:p>
            <w:r>
              <w:rPr>
                <w:rFonts w:ascii="Calibri" w:hAnsi="Calibri"/>
                <w:b/>
                <w:color w:val="30A46C"/>
                <w:sz w:val="22"/>
              </w:rPr>
              <w:t>↑ Revised up</w:t>
            </w:r>
          </w:p>
        </w:tc>
        <w:tc>
          <w:tcPr>
            <w:tcW w:type="dxa" w:w="1728"/>
          </w:tcPr>
          <w:p>
            <w:r>
              <w:rPr>
                <w:rFonts w:ascii="Calibri" w:hAnsi="Calibri"/>
                <w:sz w:val="22"/>
              </w:rPr>
              <w:t>Q1 beat drove modest upward revision to Q2 estimates; investment income anchor provides visibility.</w:t>
            </w:r>
          </w:p>
        </w:tc>
      </w:tr>
      <w:tr>
        <w:tc>
          <w:tcPr>
            <w:tcW w:type="dxa" w:w="1728"/>
          </w:tcPr>
          <w:p>
            <w:r>
              <w:rPr>
                <w:rFonts w:ascii="Calibri" w:hAnsi="Calibri"/>
                <w:sz w:val="22"/>
              </w:rPr>
              <w:t>FY2026 Core Operating EPS</w:t>
            </w:r>
          </w:p>
        </w:tc>
        <w:tc>
          <w:tcPr>
            <w:tcW w:type="dxa" w:w="1728"/>
          </w:tcPr>
          <w:p>
            <w:r>
              <w:rPr>
                <w:rFonts w:ascii="Calibri" w:hAnsi="Calibri"/>
                <w:sz w:val="22"/>
              </w:rPr>
              <w:t>~$27.07 (current)</w:t>
            </w:r>
          </w:p>
        </w:tc>
        <w:tc>
          <w:tcPr>
            <w:tcW w:type="dxa" w:w="1728"/>
          </w:tcPr>
          <w:p>
            <w:r>
              <w:rPr>
                <w:rFonts w:ascii="Calibri" w:hAnsi="Calibri"/>
                <w:sz w:val="22"/>
              </w:rPr>
              <w:t>$27.07</w:t>
            </w:r>
          </w:p>
        </w:tc>
        <w:tc>
          <w:tcPr>
            <w:tcW w:type="dxa" w:w="1728"/>
          </w:tcPr>
          <w:p>
            <w:r>
              <w:rPr>
                <w:rFonts w:ascii="Calibri" w:hAnsi="Calibri"/>
                <w:sz w:val="22"/>
              </w:rPr>
              <w:t>→ Stable</w:t>
            </w:r>
          </w:p>
        </w:tc>
        <w:tc>
          <w:tcPr>
            <w:tcW w:type="dxa" w:w="1728"/>
          </w:tcPr>
          <w:p>
            <w:r>
              <w:rPr>
                <w:rFonts w:ascii="Calibri" w:hAnsi="Calibri"/>
                <w:sz w:val="22"/>
              </w:rPr>
              <w:t>FY2026 consensus has been broadly stable post-Q1; property headwind absorbed without meaningful downward revision.</w:t>
            </w:r>
          </w:p>
        </w:tc>
      </w:tr>
      <w:tr>
        <w:tc>
          <w:tcPr>
            <w:tcW w:type="dxa" w:w="1728"/>
          </w:tcPr>
          <w:p>
            <w:r>
              <w:rPr>
                <w:rFonts w:ascii="Calibri" w:hAnsi="Calibri"/>
                <w:sz w:val="22"/>
              </w:rPr>
              <w:t>FY2027 Core Operating EPS</w:t>
            </w:r>
          </w:p>
        </w:tc>
        <w:tc>
          <w:tcPr>
            <w:tcW w:type="dxa" w:w="1728"/>
          </w:tcPr>
          <w:p>
            <w:r>
              <w:rPr>
                <w:rFonts w:ascii="Calibri" w:hAnsi="Calibri"/>
                <w:sz w:val="22"/>
              </w:rPr>
              <w:t>~$29.20 (current)</w:t>
            </w:r>
          </w:p>
        </w:tc>
        <w:tc>
          <w:tcPr>
            <w:tcW w:type="dxa" w:w="1728"/>
          </w:tcPr>
          <w:p>
            <w:r>
              <w:rPr>
                <w:rFonts w:ascii="Calibri" w:hAnsi="Calibri"/>
                <w:sz w:val="22"/>
              </w:rPr>
              <w:t>$29.20</w:t>
            </w:r>
          </w:p>
        </w:tc>
        <w:tc>
          <w:tcPr>
            <w:tcW w:type="dxa" w:w="1728"/>
          </w:tcPr>
          <w:p>
            <w:r>
              <w:rPr>
                <w:rFonts w:ascii="Calibri" w:hAnsi="Calibri"/>
                <w:sz w:val="22"/>
              </w:rPr>
              <w:t>→ Stable</w:t>
            </w:r>
          </w:p>
        </w:tc>
        <w:tc>
          <w:tcPr>
            <w:tcW w:type="dxa" w:w="1728"/>
          </w:tcPr>
          <w:p>
            <w:r>
              <w:rPr>
                <w:rFonts w:ascii="Calibri" w:hAnsi="Calibri"/>
                <w:sz w:val="22"/>
              </w:rPr>
              <w:t>Outer year estimates stable; market comfortable with CB's earnings power trajectory.</w:t>
            </w:r>
          </w:p>
        </w:tc>
      </w:tr>
      <w:tr>
        <w:tc>
          <w:tcPr>
            <w:tcW w:type="dxa" w:w="1728"/>
          </w:tcPr>
          <w:p>
            <w:r>
              <w:rPr>
                <w:rFonts w:ascii="Calibri" w:hAnsi="Calibri"/>
                <w:sz w:val="22"/>
              </w:rPr>
              <w:t>P&amp;C Combined Ratio (Q2 2026)</w:t>
            </w:r>
          </w:p>
        </w:tc>
        <w:tc>
          <w:tcPr>
            <w:tcW w:type="dxa" w:w="1728"/>
          </w:tcPr>
          <w:p>
            <w:r>
              <w:rPr>
                <w:rFonts w:ascii="Calibri" w:hAnsi="Calibri"/>
                <w:sz w:val="22"/>
              </w:rPr>
              <w:t>~85.3% (Q1 2026 pre-print consensus)</w:t>
            </w:r>
          </w:p>
        </w:tc>
        <w:tc>
          <w:tcPr>
            <w:tcW w:type="dxa" w:w="1728"/>
          </w:tcPr>
          <w:p>
            <w:r>
              <w:rPr>
                <w:rFonts w:ascii="Calibri" w:hAnsi="Calibri"/>
                <w:sz w:val="22"/>
              </w:rPr>
              <w:t>85.8%</w:t>
            </w:r>
          </w:p>
        </w:tc>
        <w:tc>
          <w:tcPr>
            <w:tcW w:type="dxa" w:w="1728"/>
          </w:tcPr>
          <w:p>
            <w:r>
              <w:rPr>
                <w:rFonts w:ascii="Calibri" w:hAnsi="Calibri"/>
                <w:b/>
                <w:color w:val="E5484D"/>
                <w:sz w:val="22"/>
              </w:rPr>
              <w:t>↓ Slightly worse</w:t>
            </w:r>
          </w:p>
        </w:tc>
        <w:tc>
          <w:tcPr>
            <w:tcW w:type="dxa" w:w="1728"/>
          </w:tcPr>
          <w:p>
            <w:r>
              <w:rPr>
                <w:rFonts w:ascii="Calibri" w:hAnsi="Calibri"/>
                <w:sz w:val="22"/>
              </w:rPr>
              <w:t>Street has modestly widened the combined ratio estimate post-Q1, reflecting elevated Q2 cat season risk and peer disclosures.</w:t>
            </w:r>
          </w:p>
        </w:tc>
      </w:tr>
      <w:tr>
        <w:tc>
          <w:tcPr>
            <w:tcW w:type="dxa" w:w="1728"/>
          </w:tcPr>
          <w:p>
            <w:r>
              <w:rPr>
                <w:rFonts w:ascii="Calibri" w:hAnsi="Calibri"/>
                <w:sz w:val="22"/>
              </w:rPr>
              <w:t>Adj. Net Investment Income — P&amp;C (Q2 2026)</w:t>
            </w:r>
          </w:p>
        </w:tc>
        <w:tc>
          <w:tcPr>
            <w:tcW w:type="dxa" w:w="1728"/>
          </w:tcPr>
          <w:p>
            <w:r>
              <w:rPr>
                <w:rFonts w:ascii="Calibri" w:hAnsi="Calibri"/>
                <w:sz w:val="22"/>
              </w:rPr>
              <w:t>~$1.536B (current)</w:t>
            </w:r>
          </w:p>
        </w:tc>
        <w:tc>
          <w:tcPr>
            <w:tcW w:type="dxa" w:w="1728"/>
          </w:tcPr>
          <w:p>
            <w:r>
              <w:rPr>
                <w:rFonts w:ascii="Calibri" w:hAnsi="Calibri"/>
                <w:sz w:val="22"/>
              </w:rPr>
              <w:t>$1.536B</w:t>
            </w:r>
          </w:p>
        </w:tc>
        <w:tc>
          <w:tcPr>
            <w:tcW w:type="dxa" w:w="1728"/>
          </w:tcPr>
          <w:p>
            <w:r>
              <w:rPr>
                <w:rFonts w:ascii="Calibri" w:hAnsi="Calibri"/>
                <w:sz w:val="22"/>
              </w:rPr>
              <w:t>→ Stable</w:t>
            </w:r>
          </w:p>
        </w:tc>
        <w:tc>
          <w:tcPr>
            <w:tcW w:type="dxa" w:w="1728"/>
          </w:tcPr>
          <w:p>
            <w:r>
              <w:rPr>
                <w:rFonts w:ascii="Calibri" w:hAnsi="Calibri"/>
                <w:sz w:val="22"/>
              </w:rPr>
              <w:t>Investment income estimates anchored by management's explicit $1.825–$1.85B total guidance; minimal revision risk.</w:t>
            </w:r>
          </w:p>
        </w:tc>
      </w:tr>
    </w:tbl>
    <w:p>
      <w:r>
        <w:rPr>
          <w:rFonts w:ascii="Calibri" w:hAnsi="Calibri"/>
          <w:i/>
          <w:color w:val="525866"/>
          <w:sz w:val="22"/>
        </w:rPr>
        <w:t>Source: Visible Alpha Consensus and Actuals Data. FY2026 EPS consensus of $27.07 and FY2027 EPS consensus of $29.20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CB has outperformed SPY since Q1 earnings (+8.3% vs. +4.3%) but slightly lagged the P&amp;C insurance ETF (KIE, +10.7%), suggesting sector tailwinds are driving the group and CB is participating but not leading. At ~$352, the stock has partially priced in continued execution.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CB vs. SPY vs. KIE — Indexed Price Performance Since Q1 2026 Earnings (April 22, 2026 = 100). Source: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CB</w:t>
            </w:r>
          </w:p>
        </w:tc>
        <w:tc>
          <w:tcPr>
            <w:tcW w:type="dxa" w:w="2160"/>
            <w:shd w:val="clear" w:color="auto" w:fill="3B4259"/>
          </w:tcPr>
          <w:p>
            <w:r>
              <w:rPr>
                <w:rFonts w:ascii="Calibri" w:hAnsi="Calibri"/>
                <w:b/>
                <w:color w:val="FFFFFF"/>
                <w:sz w:val="22"/>
              </w:rPr>
              <w:t>SPY</w:t>
            </w:r>
          </w:p>
        </w:tc>
        <w:tc>
          <w:tcPr>
            <w:tcW w:type="dxa" w:w="2160"/>
            <w:shd w:val="clear" w:color="auto" w:fill="3B4259"/>
          </w:tcPr>
          <w:p>
            <w:r>
              <w:rPr>
                <w:rFonts w:ascii="Calibri" w:hAnsi="Calibri"/>
                <w:b/>
                <w:color w:val="FFFFFF"/>
                <w:sz w:val="22"/>
              </w:rPr>
              <w:t>KIE (P&amp;C Insurance ETF)</w:t>
            </w:r>
          </w:p>
        </w:tc>
      </w:tr>
      <w:tr>
        <w:tc>
          <w:tcPr>
            <w:tcW w:type="dxa" w:w="2160"/>
          </w:tcPr>
          <w:p>
            <w:r>
              <w:rPr>
                <w:rFonts w:ascii="Calibri" w:hAnsi="Calibri"/>
                <w:sz w:val="22"/>
              </w:rPr>
              <w:t>Price at Q1 Earnings (Apr 22, 2026)</w:t>
            </w:r>
          </w:p>
        </w:tc>
        <w:tc>
          <w:tcPr>
            <w:tcW w:type="dxa" w:w="2160"/>
          </w:tcPr>
          <w:p>
            <w:r>
              <w:rPr>
                <w:rFonts w:ascii="Calibri" w:hAnsi="Calibri"/>
                <w:sz w:val="22"/>
              </w:rPr>
              <w:t>$325.43</w:t>
            </w:r>
          </w:p>
        </w:tc>
        <w:tc>
          <w:tcPr>
            <w:tcW w:type="dxa" w:w="2160"/>
          </w:tcPr>
          <w:p>
            <w:r>
              <w:rPr>
                <w:rFonts w:ascii="Calibri" w:hAnsi="Calibri"/>
                <w:sz w:val="22"/>
              </w:rPr>
              <w:t>$711.21</w:t>
            </w:r>
          </w:p>
        </w:tc>
        <w:tc>
          <w:tcPr>
            <w:tcW w:type="dxa" w:w="2160"/>
          </w:tcPr>
          <w:p>
            <w:r>
              <w:rPr>
                <w:rFonts w:ascii="Calibri" w:hAnsi="Calibri"/>
                <w:sz w:val="22"/>
              </w:rPr>
              <w:t>$57.92</w:t>
            </w:r>
          </w:p>
        </w:tc>
      </w:tr>
      <w:tr>
        <w:tc>
          <w:tcPr>
            <w:tcW w:type="dxa" w:w="2160"/>
          </w:tcPr>
          <w:p>
            <w:r>
              <w:rPr>
                <w:rFonts w:ascii="Calibri" w:hAnsi="Calibri"/>
                <w:sz w:val="22"/>
              </w:rPr>
              <w:t>Price as of Jul 20, 2026</w:t>
            </w:r>
          </w:p>
        </w:tc>
        <w:tc>
          <w:tcPr>
            <w:tcW w:type="dxa" w:w="2160"/>
          </w:tcPr>
          <w:p>
            <w:r>
              <w:rPr>
                <w:rFonts w:ascii="Calibri" w:hAnsi="Calibri"/>
                <w:sz w:val="22"/>
              </w:rPr>
              <w:t>$352.53</w:t>
            </w:r>
          </w:p>
        </w:tc>
        <w:tc>
          <w:tcPr>
            <w:tcW w:type="dxa" w:w="2160"/>
          </w:tcPr>
          <w:p>
            <w:r>
              <w:rPr>
                <w:rFonts w:ascii="Calibri" w:hAnsi="Calibri"/>
                <w:sz w:val="22"/>
              </w:rPr>
              <w:t>$742.09</w:t>
            </w:r>
          </w:p>
        </w:tc>
        <w:tc>
          <w:tcPr>
            <w:tcW w:type="dxa" w:w="2160"/>
          </w:tcPr>
          <w:p>
            <w:r>
              <w:rPr>
                <w:rFonts w:ascii="Calibri" w:hAnsi="Calibri"/>
                <w:sz w:val="22"/>
              </w:rPr>
              <w:t>$64.11</w:t>
            </w:r>
          </w:p>
        </w:tc>
      </w:tr>
      <w:tr>
        <w:tc>
          <w:tcPr>
            <w:tcW w:type="dxa" w:w="2160"/>
          </w:tcPr>
          <w:p>
            <w:r>
              <w:rPr>
                <w:rFonts w:ascii="Calibri" w:hAnsi="Calibri"/>
                <w:sz w:val="22"/>
              </w:rPr>
              <w:t>% Change Since Q1 Earnings</w:t>
            </w:r>
          </w:p>
        </w:tc>
        <w:tc>
          <w:tcPr>
            <w:tcW w:type="dxa" w:w="2160"/>
          </w:tcPr>
          <w:p>
            <w:r>
              <w:rPr>
                <w:rFonts w:ascii="Calibri" w:hAnsi="Calibri"/>
                <w:b/>
                <w:color w:val="30A46C"/>
                <w:sz w:val="22"/>
              </w:rPr>
              <w:t>+8.3%</w:t>
            </w:r>
          </w:p>
        </w:tc>
        <w:tc>
          <w:tcPr>
            <w:tcW w:type="dxa" w:w="2160"/>
          </w:tcPr>
          <w:p>
            <w:r>
              <w:rPr>
                <w:rFonts w:ascii="Calibri" w:hAnsi="Calibri"/>
                <w:sz w:val="22"/>
              </w:rPr>
              <w:t>+4.3%</w:t>
            </w:r>
          </w:p>
        </w:tc>
        <w:tc>
          <w:tcPr>
            <w:tcW w:type="dxa" w:w="2160"/>
          </w:tcPr>
          <w:p>
            <w:r>
              <w:rPr>
                <w:rFonts w:ascii="Calibri" w:hAnsi="Calibri"/>
                <w:sz w:val="22"/>
              </w:rPr>
              <w:t>+10.7%</w:t>
            </w:r>
          </w:p>
        </w:tc>
      </w:tr>
      <w:tr>
        <w:tc>
          <w:tcPr>
            <w:tcW w:type="dxa" w:w="2160"/>
          </w:tcPr>
          <w:p>
            <w:r>
              <w:rPr>
                <w:rFonts w:ascii="Calibri" w:hAnsi="Calibri"/>
                <w:sz w:val="22"/>
              </w:rPr>
              <w:t>Period Low (Since Apr 22)</w:t>
            </w:r>
          </w:p>
        </w:tc>
        <w:tc>
          <w:tcPr>
            <w:tcW w:type="dxa" w:w="2160"/>
          </w:tcPr>
          <w:p>
            <w:r>
              <w:rPr>
                <w:rFonts w:ascii="Calibri" w:hAnsi="Calibri"/>
                <w:sz w:val="22"/>
              </w:rPr>
              <w:t>$309.78 (Jun 1)</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Period High (Since Apr 22)</w:t>
            </w:r>
          </w:p>
        </w:tc>
        <w:tc>
          <w:tcPr>
            <w:tcW w:type="dxa" w:w="2160"/>
          </w:tcPr>
          <w:p>
            <w:r>
              <w:rPr>
                <w:rFonts w:ascii="Calibri" w:hAnsi="Calibri"/>
                <w:sz w:val="22"/>
              </w:rPr>
              <w:t>$361.17 (Jul 2)</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color w:val="525866"/>
          <w:sz w:val="22"/>
        </w:rPr>
        <w:t xml:space="preserve">CB dipped to a post-earnings low of $309.78 on June 1 before recovering sharply, rallying ~14% from trough to the July 2 high of $361.17. The stock has since pulled back modestly to ~$352, likely reflecting some pre-earnings caution around Q2 cat activity. The stock's relative underperformance vs. KIE (+8.3% vs. +10.7%) may reflect the market pricing in some property market headwind specific to CB's large-account commercial book. </w:t>
      </w:r>
      <w:r>
        <w:rPr>
          <w:rFonts w:ascii="Calibri" w:hAnsi="Calibri"/>
          <w:b/>
          <w:color w:val="525866"/>
          <w:sz w:val="22"/>
        </w:rPr>
        <w:t xml:space="preserve">Valuation: </w:t>
      </w:r>
      <w:r>
        <w:rPr>
          <w:rFonts w:ascii="Calibri" w:hAnsi="Calibri"/>
          <w:color w:val="525866"/>
          <w:sz w:val="22"/>
        </w:rPr>
        <w:t>At ~$352, CB trades at approximately 13x NTM core operating EPS (~$27), which is at a modest premium to long-term historical averages but below peak multiples, reflecting the market's recognition of improved earnings quality and investment income growth.</w:t>
      </w:r>
    </w:p>
    <w:p>
      <w:r>
        <w:rPr>
          <w:rFonts w:ascii="Calibri" w:hAnsi="Calibri"/>
          <w:i/>
          <w:color w:val="525866"/>
          <w:sz w:val="22"/>
        </w:rPr>
        <w:t>Source: Yahoo Finance /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Peers reporting Q2 2026 results (TRV, WRB) and Q2 2026 disclosures (ALL, PGR) paint a consistent picture: property market softening is accelerating and broadly acknowledged, casualty remains constructive, and cat losses were elevated in Q2 — all directly relevant to CB's upcoming print. The read-through is mixed: underwriting discipline and casualty strength are positives, but elevated cat activity is a genuine risk.</w:t>
      </w:r>
    </w:p>
    <w:p>
      <w:r>
        <w:rPr>
          <w:rFonts w:ascii="Calibri" w:hAnsi="Calibri"/>
          <w:i/>
          <w:color w:val="525866"/>
          <w:sz w:val="22"/>
        </w:rPr>
        <w:t>Note: Only peer commentary about Q2 2026 (the current reporting quarter) or forward-looking commentary made after Q1 2026 earnings is included below. Q1 2026 results commentary from peers is excluded.</w:t>
      </w:r>
    </w:p>
    <w:p>
      <w:pPr>
        <w:pStyle w:val="Heading3"/>
      </w:pPr>
      <w:r>
        <w:rPr>
          <w:rFonts w:ascii="Calibri" w:hAnsi="Calibri"/>
          <w:b/>
          <w:color w:val="3B4259"/>
          <w:sz w:val="24"/>
        </w:rPr>
        <w:t>Travelers (TRV) — Q2 2026 Earnings (Reported July 17, 2026)</w:t>
      </w:r>
    </w:p>
    <w:p>
      <w:r>
        <w:rPr>
          <w:rFonts w:ascii="Calibri" w:hAnsi="Calibri"/>
          <w:b/>
          <w:color w:val="525866"/>
          <w:sz w:val="22"/>
        </w:rPr>
        <w:t xml:space="preserve">Read-Through Relevance: </w:t>
      </w:r>
      <w:r>
        <w:rPr>
          <w:rFonts w:ascii="Calibri" w:hAnsi="Calibri"/>
          <w:color w:val="525866"/>
          <w:sz w:val="22"/>
        </w:rPr>
        <w:t>TRV is CB's closest large-cap P&amp;C peer and a direct read-through on commercial pricing, cat losses, and underwriting margins.</w:t>
      </w:r>
    </w:p>
    <w:p>
      <w:pPr>
        <w:pStyle w:val="ListBullet"/>
        <w:ind w:left="360" w:hanging="360"/>
      </w:pPr>
      <w:r>
        <w:rPr>
          <w:rFonts w:ascii="Calibri" w:hAnsi="Calibri"/>
          <w:b/>
          <w:color w:val="525866"/>
          <w:sz w:val="22"/>
        </w:rPr>
        <w:t xml:space="preserve">Property Pricing Softening Confirmed: </w:t>
      </w:r>
      <w:r>
        <w:rPr>
          <w:rFonts w:ascii="Calibri" w:hAnsi="Calibri"/>
          <w:color w:val="525866"/>
          <w:sz w:val="22"/>
        </w:rPr>
        <w:t>TRV's Q2 2026 results confirmed continued softening in large-account commercial property, consistent with CB's Q1 2026 commentary. TRV management noted that property pricing in shared and layered accounts remains under pressure, validating CB's decision to shrink that book.</w:t>
      </w:r>
    </w:p>
    <w:p>
      <w:pPr>
        <w:pStyle w:val="ListBullet"/>
        <w:ind w:left="360" w:hanging="360"/>
      </w:pPr>
      <w:r>
        <w:rPr>
          <w:rFonts w:ascii="Calibri" w:hAnsi="Calibri"/>
          <w:b/>
          <w:color w:val="525866"/>
          <w:sz w:val="22"/>
        </w:rPr>
        <w:t xml:space="preserve">Casualty Pricing Remains Constructive: </w:t>
      </w:r>
      <w:r>
        <w:rPr>
          <w:rFonts w:ascii="Calibri" w:hAnsi="Calibri"/>
          <w:color w:val="525866"/>
          <w:sz w:val="22"/>
        </w:rPr>
        <w:t>TRV reported continued positive casualty pricing momentum in Q2 2026, with rate increases broadly in line with loss cost trends — a positive read-through for CB's casualty book, which saw NA casualty pricing up 9.6% in Q1 2026.</w:t>
      </w:r>
    </w:p>
    <w:p>
      <w:pPr>
        <w:pStyle w:val="ListBullet"/>
        <w:ind w:left="360" w:hanging="360"/>
      </w:pPr>
      <w:r>
        <w:rPr>
          <w:rFonts w:ascii="Calibri" w:hAnsi="Calibri"/>
          <w:b/>
          <w:color w:val="525866"/>
          <w:sz w:val="22"/>
        </w:rPr>
        <w:t xml:space="preserve">Cat Losses Elevated: </w:t>
      </w:r>
      <w:r>
        <w:rPr>
          <w:rFonts w:ascii="Calibri" w:hAnsi="Calibri"/>
          <w:color w:val="525866"/>
          <w:sz w:val="22"/>
        </w:rPr>
        <w:t>TRV reported elevated catastrophe losses in Q2 2026, reflecting active weather activity during the quarter. This is a direct negative read-through for CB's Q2 combined ratio, as CB's consensus already models ~$585M in net cat losses — any upside to this figure would pressure the combined ratio above the 85.8% consensus.</w:t>
      </w:r>
    </w:p>
    <w:p>
      <w:pPr>
        <w:pStyle w:val="ListBullet"/>
        <w:ind w:left="360" w:hanging="360"/>
      </w:pPr>
      <w:r>
        <w:rPr>
          <w:rFonts w:ascii="Calibri" w:hAnsi="Calibri"/>
          <w:b/>
          <w:color w:val="525866"/>
          <w:sz w:val="22"/>
        </w:rPr>
        <w:t xml:space="preserve">Investment Income Strong: </w:t>
      </w:r>
      <w:r>
        <w:rPr>
          <w:rFonts w:ascii="Calibri" w:hAnsi="Calibri"/>
          <w:color w:val="525866"/>
          <w:sz w:val="22"/>
        </w:rPr>
        <w:t>TRV reported strong net investment income in Q2 2026, driven by a growing fixed income portfolio and higher reinvestment rates — consistent with CB's guidance of $1.825–$1.85B for Q2 and supportive of the investment income line.</w:t>
      </w:r>
    </w:p>
    <w:p>
      <w:pPr>
        <w:pStyle w:val="Heading3"/>
      </w:pPr>
      <w:r>
        <w:rPr>
          <w:rFonts w:ascii="Calibri" w:hAnsi="Calibri"/>
          <w:b/>
          <w:color w:val="3B4259"/>
          <w:sz w:val="24"/>
        </w:rPr>
        <w:t>W.R. Berkley (WRB) — Q2 2026 Earnings (Reported July 20, 2026)</w:t>
      </w:r>
    </w:p>
    <w:p>
      <w:r>
        <w:rPr>
          <w:rFonts w:ascii="Calibri" w:hAnsi="Calibri"/>
          <w:b/>
          <w:color w:val="525866"/>
          <w:sz w:val="22"/>
        </w:rPr>
        <w:t xml:space="preserve">Read-Through Relevance: </w:t>
      </w:r>
      <w:r>
        <w:rPr>
          <w:rFonts w:ascii="Calibri" w:hAnsi="Calibri"/>
          <w:color w:val="525866"/>
          <w:sz w:val="22"/>
        </w:rPr>
        <w:t>WRB is a highly regarded specialty P&amp;C underwriter with strong cycle management discipline — its commentary on market conditions is a high-quality signal for CB's commercial lines environment.</w:t>
      </w:r>
    </w:p>
    <w:p>
      <w:pPr>
        <w:pStyle w:val="ListBullet"/>
        <w:ind w:left="360" w:hanging="360"/>
      </w:pPr>
      <w:r>
        <w:rPr>
          <w:rFonts w:ascii="Calibri" w:hAnsi="Calibri"/>
          <w:b/>
          <w:color w:val="525866"/>
          <w:sz w:val="22"/>
        </w:rPr>
        <w:t xml:space="preserve">Property Market: "Greatest Stupidity in the Property Arena": </w:t>
      </w:r>
      <w:r>
        <w:rPr>
          <w:rFonts w:ascii="Calibri" w:hAnsi="Calibri"/>
          <w:color w:val="525866"/>
          <w:sz w:val="22"/>
        </w:rPr>
        <w:t>WRB CEO Rob Berkley described shared and layered property as "the greatest stupidity" in the market, with pricing erosion "water falling through to other parts of the property market." He warned that "Mother Nature is lulling the property market into a false sense of comfort" and that "the industry will learn the hard way." This is a direct and emphatic validation of CB's Q1 2026 property market commentary.</w:t>
      </w:r>
    </w:p>
    <w:p>
      <w:pPr>
        <w:pStyle w:val="ListBullet"/>
        <w:ind w:left="360" w:hanging="360"/>
      </w:pPr>
      <w:r>
        <w:rPr>
          <w:rFonts w:ascii="Calibri" w:hAnsi="Calibri"/>
          <w:b/>
          <w:color w:val="525866"/>
          <w:sz w:val="22"/>
        </w:rPr>
        <w:t xml:space="preserve">MGU Model Risk: </w:t>
      </w:r>
      <w:r>
        <w:rPr>
          <w:rFonts w:ascii="Calibri" w:hAnsi="Calibri"/>
          <w:color w:val="525866"/>
          <w:sz w:val="22"/>
        </w:rPr>
        <w:t>WRB expressed "great concern" around the MGU (Managing General Underwriter) model, citing "questions around delegated authority and the lack of alignment of interests" that is "mushrooming and ultimately is going to end in tears for some market participants." CB's disciplined direct underwriting model is a competitive advantage in this environment.</w:t>
      </w:r>
    </w:p>
    <w:p>
      <w:pPr>
        <w:pStyle w:val="ListBullet"/>
        <w:ind w:left="360" w:hanging="360"/>
      </w:pPr>
      <w:r>
        <w:rPr>
          <w:rFonts w:ascii="Calibri" w:hAnsi="Calibri"/>
          <w:b/>
          <w:color w:val="525866"/>
          <w:sz w:val="22"/>
        </w:rPr>
        <w:t xml:space="preserve">Reinsurance Particularly Concerning: </w:t>
      </w:r>
      <w:r>
        <w:rPr>
          <w:rFonts w:ascii="Calibri" w:hAnsi="Calibri"/>
          <w:color w:val="525866"/>
          <w:sz w:val="22"/>
        </w:rPr>
        <w:t>WRB flagged reinsurance as "particularly concerning," with property eroding rapidly and casualty reinsurance never having enjoyed the pricing bounce that primary casualty did. WRB is shrinking its casualty reinsurance book faster than property — a nuanced signal that CB's decision to purchase additional reinsurance in Q1 2026 was well-timed.</w:t>
      </w:r>
    </w:p>
    <w:p>
      <w:pPr>
        <w:pStyle w:val="ListBullet"/>
        <w:ind w:left="360" w:hanging="360"/>
      </w:pPr>
      <w:r>
        <w:rPr>
          <w:rFonts w:ascii="Calibri" w:hAnsi="Calibri"/>
          <w:b/>
          <w:color w:val="525866"/>
          <w:sz w:val="22"/>
        </w:rPr>
        <w:t xml:space="preserve">Broader Casualty Market Remains Attractive: </w:t>
      </w:r>
      <w:r>
        <w:rPr>
          <w:rFonts w:ascii="Calibri" w:hAnsi="Calibri"/>
          <w:color w:val="525866"/>
          <w:sz w:val="22"/>
        </w:rPr>
        <w:t>WRB confirmed the broader casualty market "remains attractive" with a few isolated pockets of concern (habitational, liquor, where rates are being cut 20–30%). This is a positive read-through for CB's casualty book. WRB's Q2 rate increase ex-workers' comp was 3.8%, in line with expectations.</w:t>
      </w:r>
    </w:p>
    <w:p>
      <w:pPr>
        <w:pStyle w:val="ListBullet"/>
        <w:ind w:left="360" w:hanging="360"/>
      </w:pPr>
      <w:r>
        <w:rPr>
          <w:rFonts w:ascii="Calibri" w:hAnsi="Calibri"/>
          <w:b/>
          <w:color w:val="525866"/>
          <w:sz w:val="22"/>
        </w:rPr>
        <w:t xml:space="preserve">Strong Financial Results: </w:t>
      </w:r>
      <w:r>
        <w:rPr>
          <w:rFonts w:ascii="Calibri" w:hAnsi="Calibri"/>
          <w:color w:val="525866"/>
          <w:sz w:val="22"/>
        </w:rPr>
        <w:t>WRB reported Q2 2026 operating EPS of $1.27 (+21% YoY), pre-tax underwriting income of $318M, and record quarterly pre-tax net investment income of $419M. Current accident year combined ratio ex-cat of 88.1% and calendar year combined ratio of 90%. Strong results from a disciplined peer are a positive read-through for CB's underwriting quality.</w:t>
      </w:r>
    </w:p>
    <w:p>
      <w:pPr>
        <w:pStyle w:val="ListBullet"/>
        <w:ind w:left="360" w:hanging="360"/>
      </w:pPr>
      <w:r>
        <w:rPr>
          <w:rFonts w:ascii="Calibri" w:hAnsi="Calibri"/>
          <w:b/>
          <w:color w:val="525866"/>
          <w:sz w:val="22"/>
        </w:rPr>
        <w:t xml:space="preserve">Private Client / Personal Lines Traction: </w:t>
      </w:r>
      <w:r>
        <w:rPr>
          <w:rFonts w:ascii="Calibri" w:hAnsi="Calibri"/>
          <w:color w:val="525866"/>
          <w:sz w:val="22"/>
        </w:rPr>
        <w:t>WRB highlighted "great traction" in private client personal lines and the A&amp;H space as attractive pockets within short-tail lines — consistent with CB's consumer segment growth narrative.</w:t>
      </w:r>
    </w:p>
    <w:p>
      <w:pPr>
        <w:pStyle w:val="Heading3"/>
      </w:pPr>
      <w:r>
        <w:rPr>
          <w:rFonts w:ascii="Calibri" w:hAnsi="Calibri"/>
          <w:b/>
          <w:color w:val="3B4259"/>
          <w:sz w:val="24"/>
        </w:rPr>
        <w:t>Allstate (ALL) — Q2 2026 Catastrophe Loss Disclosure (July 16, 2026)</w:t>
      </w:r>
    </w:p>
    <w:p>
      <w:r>
        <w:rPr>
          <w:rFonts w:ascii="Calibri" w:hAnsi="Calibri"/>
          <w:b/>
          <w:color w:val="525866"/>
          <w:sz w:val="22"/>
        </w:rPr>
        <w:t xml:space="preserve">Read-Through Relevance: </w:t>
      </w:r>
      <w:r>
        <w:rPr>
          <w:rFonts w:ascii="Calibri" w:hAnsi="Calibri"/>
          <w:color w:val="525866"/>
          <w:sz w:val="22"/>
        </w:rPr>
        <w:t>ALL's monthly cat disclosures are a leading indicator of industry-wide catastrophe activity for the quarter.</w:t>
      </w:r>
    </w:p>
    <w:p>
      <w:pPr>
        <w:pStyle w:val="ListBullet"/>
        <w:ind w:left="360" w:hanging="360"/>
      </w:pPr>
      <w:r>
        <w:rPr>
          <w:rFonts w:ascii="Calibri" w:hAnsi="Calibri"/>
          <w:b/>
          <w:color w:val="525866"/>
          <w:sz w:val="22"/>
        </w:rPr>
        <w:t xml:space="preserve">Q2 2026 Cat Losses Elevated at $1.72B: </w:t>
      </w:r>
      <w:r>
        <w:rPr>
          <w:rFonts w:ascii="Calibri" w:hAnsi="Calibri"/>
          <w:color w:val="525866"/>
          <w:sz w:val="22"/>
        </w:rPr>
        <w:t>Allstate disclosed total Q2 2026 catastrophe losses of $1.72 billion ($1.36B after-tax), with June 2026 alone contributing $563M ($445M after-tax). This is a meaningful signal that Q2 2026 was an active cat quarter for the industry. For CB, the consensus models ~$585M in net cat losses for Q2 — if industry cat activity was elevated, CB's cat load could come in above this figure, pressuring the combined ratio above the 85.8% consensus.</w:t>
      </w:r>
    </w:p>
    <w:p>
      <w:pPr>
        <w:pStyle w:val="ListBullet"/>
        <w:ind w:left="360" w:hanging="360"/>
      </w:pPr>
      <w:r>
        <w:rPr>
          <w:rFonts w:ascii="Calibri" w:hAnsi="Calibri"/>
          <w:b/>
          <w:color w:val="525866"/>
          <w:sz w:val="22"/>
        </w:rPr>
        <w:t xml:space="preserve">Key Risk for CB's Q2 Combined Ratio: </w:t>
      </w:r>
      <w:r>
        <w:rPr>
          <w:rFonts w:ascii="Calibri" w:hAnsi="Calibri"/>
          <w:color w:val="525866"/>
          <w:sz w:val="22"/>
        </w:rPr>
        <w:t>ALL's disclosure is the single most important negative read-through for CB's Q2 print. CB's Q1 2026 net cat losses were $500M (below the $521M consensus), but Q2 is seasonally the peak cat quarter and industry data suggests elevated activity. Investors should watch CB's cat disclosure closely.</w:t>
      </w:r>
    </w:p>
    <w:p>
      <w:pPr>
        <w:pStyle w:val="Heading3"/>
      </w:pPr>
      <w:r>
        <w:rPr>
          <w:rFonts w:ascii="Calibri" w:hAnsi="Calibri"/>
          <w:b/>
          <w:color w:val="3B4259"/>
          <w:sz w:val="24"/>
        </w:rPr>
        <w:t>Progressive (PGR) — Q2 2026 Monthly Data (July 15, 2026)</w:t>
      </w:r>
    </w:p>
    <w:p>
      <w:r>
        <w:rPr>
          <w:rFonts w:ascii="Calibri" w:hAnsi="Calibri"/>
          <w:b/>
          <w:color w:val="525866"/>
          <w:sz w:val="22"/>
        </w:rPr>
        <w:t xml:space="preserve">Read-Through Relevance: </w:t>
      </w:r>
      <w:r>
        <w:rPr>
          <w:rFonts w:ascii="Calibri" w:hAnsi="Calibri"/>
          <w:color w:val="525866"/>
          <w:sz w:val="22"/>
        </w:rPr>
        <w:t>PGR is the largest personal auto insurer in the US; its Q2 data provides a read on personal lines pricing and cat activity.</w:t>
      </w:r>
    </w:p>
    <w:p>
      <w:pPr>
        <w:pStyle w:val="ListBullet"/>
        <w:ind w:left="360" w:hanging="360"/>
      </w:pPr>
      <w:r>
        <w:rPr>
          <w:rFonts w:ascii="Calibri" w:hAnsi="Calibri"/>
          <w:b/>
          <w:color w:val="525866"/>
          <w:sz w:val="22"/>
        </w:rPr>
        <w:t xml:space="preserve">Q2 2026 Combined Ratio of 87.3% (vs. 86.2% in Q2 2025): </w:t>
      </w:r>
      <w:r>
        <w:rPr>
          <w:rFonts w:ascii="Calibri" w:hAnsi="Calibri"/>
          <w:color w:val="525866"/>
          <w:sz w:val="22"/>
        </w:rPr>
        <w:t>PGR's Q2 combined ratio widened slightly YoY, though a one-time favorable 11.7-point actuarial methodology change in June (IBNR reserve adjustment for property products) distorts the headline. Excluding this one-time item, underlying performance was weaker. The cat loss ratio for June was 2.4% companywide.</w:t>
      </w:r>
    </w:p>
    <w:p>
      <w:pPr>
        <w:pStyle w:val="ListBullet"/>
        <w:ind w:left="360" w:hanging="360"/>
      </w:pPr>
      <w:r>
        <w:rPr>
          <w:rFonts w:ascii="Calibri" w:hAnsi="Calibri"/>
          <w:b/>
          <w:color w:val="525866"/>
          <w:sz w:val="22"/>
        </w:rPr>
        <w:t xml:space="preserve">Premium Growth Slowing: </w:t>
      </w:r>
      <w:r>
        <w:rPr>
          <w:rFonts w:ascii="Calibri" w:hAnsi="Calibri"/>
          <w:color w:val="525866"/>
          <w:sz w:val="22"/>
        </w:rPr>
        <w:t>PGR's Q2 net premiums written grew 5% YoY to $21.1B, with June growth of only 3%. Personal lines auto growth is decelerating (Agency auto flat, Direct auto +5%), suggesting the personal auto pricing cycle is maturing. This is a modest read-through for CB's personal lines segment, though CB's personal book is more homeowners/high-net-worth focused.</w:t>
      </w:r>
    </w:p>
    <w:p>
      <w:pPr>
        <w:pStyle w:val="ListBullet"/>
        <w:ind w:left="360" w:hanging="360"/>
      </w:pPr>
      <w:r>
        <w:rPr>
          <w:rFonts w:ascii="Calibri" w:hAnsi="Calibri"/>
          <w:b/>
          <w:color w:val="525866"/>
          <w:sz w:val="22"/>
        </w:rPr>
        <w:t xml:space="preserve">Cat Activity in Property: </w:t>
      </w:r>
      <w:r>
        <w:rPr>
          <w:rFonts w:ascii="Calibri" w:hAnsi="Calibri"/>
          <w:color w:val="525866"/>
          <w:sz w:val="22"/>
        </w:rPr>
        <w:t>PGR's personal lines property cat loss ratio of 2.6% in June and the actuarial reserve adjustment for property IBNR both signal elevated property cat activity in Q2 — consistent with ALL's disclosure and a negative read-through for CB's Q2 cat load.</w:t>
      </w:r>
    </w:p>
    <w:p>
      <w:pPr>
        <w:pStyle w:val="Heading3"/>
      </w:pPr>
      <w:r>
        <w:rPr>
          <w:rFonts w:ascii="Calibri" w:hAnsi="Calibri"/>
          <w:b/>
          <w:color w:val="3B4259"/>
          <w:sz w:val="24"/>
        </w:rPr>
        <w:t>AIG — Q1 2026 Earnings (Reported May 1, 2026) — Forward-Looking Commentary on Q2/FY2026</w:t>
      </w:r>
    </w:p>
    <w:p>
      <w:r>
        <w:rPr>
          <w:rFonts w:ascii="Calibri" w:hAnsi="Calibri"/>
          <w:b/>
          <w:color w:val="525866"/>
          <w:sz w:val="22"/>
        </w:rPr>
        <w:t xml:space="preserve">Read-Through Relevance: </w:t>
      </w:r>
      <w:r>
        <w:rPr>
          <w:rFonts w:ascii="Calibri" w:hAnsi="Calibri"/>
          <w:color w:val="525866"/>
          <w:sz w:val="22"/>
        </w:rPr>
        <w:t>AIG's Q1 2026 call included forward-looking commentary about the property market and casualty pricing trajectory for the remainder of 2026, directly relevant to CB's Q2 setup.</w:t>
      </w:r>
    </w:p>
    <w:p>
      <w:pPr>
        <w:pStyle w:val="ListBullet"/>
        <w:ind w:left="360" w:hanging="360"/>
      </w:pPr>
      <w:r>
        <w:rPr>
          <w:rFonts w:ascii="Calibri" w:hAnsi="Calibri"/>
          <w:b/>
          <w:color w:val="525866"/>
          <w:sz w:val="22"/>
        </w:rPr>
        <w:t xml:space="preserve">Property Market Softening Broadly Confirmed: </w:t>
      </w:r>
      <w:r>
        <w:rPr>
          <w:rFonts w:ascii="Calibri" w:hAnsi="Calibri"/>
          <w:color w:val="525866"/>
          <w:sz w:val="22"/>
        </w:rPr>
        <w:t>AIG CEO Peter Zaffino described "pricing pressure across the market on the U.S. large account segment" and noted that North America Property pricing decreased 11% in Q1 2026. AIG has been contracting its Lexington large account shared/layered E&amp;S book and expects this to "continue throughout the year if the current market environment persists." This is a direct validation of CB's property market narrative and suggests the headwind will persist into Q2 and beyond.</w:t>
      </w:r>
    </w:p>
    <w:p>
      <w:pPr>
        <w:pStyle w:val="ListBullet"/>
        <w:ind w:left="360" w:hanging="360"/>
      </w:pPr>
      <w:r>
        <w:rPr>
          <w:rFonts w:ascii="Calibri" w:hAnsi="Calibri"/>
          <w:b/>
          <w:color w:val="525866"/>
          <w:sz w:val="22"/>
        </w:rPr>
        <w:t xml:space="preserve">International Property Different Story: </w:t>
      </w:r>
      <w:r>
        <w:rPr>
          <w:rFonts w:ascii="Calibri" w:hAnsi="Calibri"/>
          <w:color w:val="525866"/>
          <w:sz w:val="22"/>
        </w:rPr>
        <w:t>AIG noted the "International Property market rate environment is very different from the U.S.," with international pricing down only 4% in Q1 (only the second quarter of rate reductions in 5 years). This is a positive read-through for CB's overseas segment, which saw NPW of $4.47B in Q1 2026 (+14.4% YoY) and where international pricing is more disciplined.</w:t>
      </w:r>
    </w:p>
    <w:p>
      <w:pPr>
        <w:pStyle w:val="ListBullet"/>
        <w:ind w:left="360" w:hanging="360"/>
      </w:pPr>
      <w:r>
        <w:rPr>
          <w:rFonts w:ascii="Calibri" w:hAnsi="Calibri"/>
          <w:b/>
          <w:color w:val="525866"/>
          <w:sz w:val="22"/>
        </w:rPr>
        <w:t xml:space="preserve">Casualty Pricing Remains Favorable: </w:t>
      </w:r>
      <w:r>
        <w:rPr>
          <w:rFonts w:ascii="Calibri" w:hAnsi="Calibri"/>
          <w:color w:val="525866"/>
          <w:sz w:val="22"/>
        </w:rPr>
        <w:t>AIG reported North America Casualty pricing "remains favorable" with retail Excess Casualty up 14% and Lexington Casualty up 8% in Q1 2026. This is a strong positive read-through for CB's casualty book, which is a key driver of underwriting profitability.</w:t>
      </w:r>
    </w:p>
    <w:p>
      <w:pPr>
        <w:pStyle w:val="ListBullet"/>
        <w:ind w:left="360" w:hanging="360"/>
      </w:pPr>
      <w:r>
        <w:rPr>
          <w:rFonts w:ascii="Calibri" w:hAnsi="Calibri"/>
          <w:b/>
          <w:color w:val="525866"/>
          <w:sz w:val="22"/>
        </w:rPr>
        <w:t xml:space="preserve">"Strongest Q1 Since I've Been at AIG": </w:t>
      </w:r>
      <w:r>
        <w:rPr>
          <w:rFonts w:ascii="Calibri" w:hAnsi="Calibri"/>
          <w:color w:val="525866"/>
          <w:sz w:val="22"/>
        </w:rPr>
        <w:t>AIG's Q1 2026 accident year combined ratio as adjusted was 86.6% (improved 120 bps YoY), and the calendar year combined ratio was 87.3% (improved 850 bps YoY). Strong peer underwriting results validate the favorable underlying P&amp;C environment for disciplined underwriters like CB.</w:t>
      </w:r>
    </w:p>
    <w:p>
      <w:pPr>
        <w:pStyle w:val="Heading3"/>
      </w:pPr>
      <w:r>
        <w:rPr>
          <w:rFonts w:ascii="Calibri" w:hAnsi="Calibri"/>
          <w:b/>
          <w:color w:val="3B4259"/>
          <w:sz w:val="24"/>
        </w:rPr>
        <w:t>CNA Financial — Q1 2026 Earnings (Reported May 3–4, 2026) — Forward-Looking Commentary</w:t>
      </w:r>
    </w:p>
    <w:p>
      <w:r>
        <w:rPr>
          <w:rFonts w:ascii="Calibri" w:hAnsi="Calibri"/>
          <w:b/>
          <w:color w:val="525866"/>
          <w:sz w:val="22"/>
        </w:rPr>
        <w:t xml:space="preserve">Read-Through Relevance: </w:t>
      </w:r>
      <w:r>
        <w:rPr>
          <w:rFonts w:ascii="Calibri" w:hAnsi="Calibri"/>
          <w:color w:val="525866"/>
          <w:sz w:val="22"/>
        </w:rPr>
        <w:t>CNA is a mid-size commercial P&amp;C insurer with a focus on specialty and middle market — a relevant read-through for CB's commercial lines pricing and reserve adequacy.</w:t>
      </w:r>
    </w:p>
    <w:p>
      <w:pPr>
        <w:pStyle w:val="ListBullet"/>
        <w:ind w:left="360" w:hanging="360"/>
      </w:pPr>
      <w:r>
        <w:rPr>
          <w:rFonts w:ascii="Calibri" w:hAnsi="Calibri"/>
          <w:b/>
          <w:color w:val="525866"/>
          <w:sz w:val="22"/>
        </w:rPr>
        <w:t xml:space="preserve">Commercial Lines Pricing Constructive in Middle Market: </w:t>
      </w:r>
      <w:r>
        <w:rPr>
          <w:rFonts w:ascii="Calibri" w:hAnsi="Calibri"/>
          <w:color w:val="525866"/>
          <w:sz w:val="22"/>
        </w:rPr>
        <w:t>CNA's Q1 2026 commentary confirmed that middle market and specialty commercial lines pricing remains constructive, with rate increases broadly in line with loss cost trends. This is a positive read-through for CB's middle market and small commercial business, where property pricing was up 1.5% in Q1 2026 (vs. large account property down 14.3%).</w:t>
      </w:r>
    </w:p>
    <w:p>
      <w:pPr>
        <w:pStyle w:val="ListBullet"/>
        <w:ind w:left="360" w:hanging="360"/>
      </w:pPr>
      <w:r>
        <w:rPr>
          <w:rFonts w:ascii="Calibri" w:hAnsi="Calibri"/>
          <w:b/>
          <w:color w:val="525866"/>
          <w:sz w:val="22"/>
        </w:rPr>
        <w:t xml:space="preserve">Casualty Reserve Adequacy: </w:t>
      </w:r>
      <w:r>
        <w:rPr>
          <w:rFonts w:ascii="Calibri" w:hAnsi="Calibri"/>
          <w:color w:val="525866"/>
          <w:sz w:val="22"/>
        </w:rPr>
        <w:t>CNA's Q1 2026 results included commentary on casualty reserve adequacy, with management expressing confidence in reserve positioning. This is a positive read-through for CB's casualty reserve posture, which has been a key investor focus given industry-wide social inflation concerns.</w:t>
      </w:r>
    </w:p>
    <w:p>
      <w:pPr>
        <w:pStyle w:val="ListBullet"/>
        <w:ind w:left="360" w:hanging="360"/>
      </w:pPr>
      <w:r>
        <w:rPr>
          <w:rFonts w:ascii="Calibri" w:hAnsi="Calibri"/>
          <w:b/>
          <w:color w:val="525866"/>
          <w:sz w:val="22"/>
        </w:rPr>
        <w:t xml:space="preserve">Investment Income Growth Continues: </w:t>
      </w:r>
      <w:r>
        <w:rPr>
          <w:rFonts w:ascii="Calibri" w:hAnsi="Calibri"/>
          <w:color w:val="525866"/>
          <w:sz w:val="22"/>
        </w:rPr>
        <w:t>CNA reported continued growth in net investment income in Q1 2026, driven by higher reinvestment rates and a growing fixed income portfolio — consistent with CB's investment income growth narrative and supportive of the $1.825–$1.85B Q2 guidance.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No major company-specific news since Q1 2026 earnings. The dominant themes are macro (property market softening, cat season) and sector-wide (MGU model risk, casualty social inflation). CB's deliberate underwriting actions in Q1 position it well relative to peers.</w:t>
      </w:r>
    </w:p>
    <w:p>
      <w:pPr>
        <w:pStyle w:val="ListBullet"/>
        <w:ind w:left="360" w:hanging="360"/>
      </w:pPr>
      <w:r>
        <w:rPr>
          <w:rFonts w:ascii="Calibri" w:hAnsi="Calibri"/>
          <w:b/>
          <w:color w:val="525866"/>
          <w:sz w:val="22"/>
        </w:rPr>
        <w:t xml:space="preserve">Property Market Softening (Ongoing): </w:t>
      </w:r>
      <w:r>
        <w:rPr>
          <w:rFonts w:ascii="Calibri" w:hAnsi="Calibri"/>
          <w:color w:val="525866"/>
          <w:sz w:val="22"/>
        </w:rPr>
        <w:t>The most significant development since Q1 2026 earnings is the continued and accelerating softening in large-account commercial property pricing, confirmed by multiple peers (TRV, WRB, AIG). CB's Q1 decision to shrink this book and purchase additional reinsurance appears prescient. The key question for Q2 is whether the deliberate shrinkage is visible in commercial NPW growth (consensus: +2.2% YoY) and whether the reinsurance purchase provides meaningful cat protection.</w:t>
      </w:r>
    </w:p>
    <w:p>
      <w:pPr>
        <w:pStyle w:val="ListBullet"/>
        <w:ind w:left="360" w:hanging="360"/>
      </w:pPr>
      <w:r>
        <w:rPr>
          <w:rFonts w:ascii="Calibri" w:hAnsi="Calibri"/>
          <w:b/>
          <w:color w:val="525866"/>
          <w:sz w:val="22"/>
        </w:rPr>
        <w:t xml:space="preserve">Q2 2026 Catastrophe Season: </w:t>
      </w:r>
      <w:r>
        <w:rPr>
          <w:rFonts w:ascii="Calibri" w:hAnsi="Calibri"/>
          <w:color w:val="525866"/>
          <w:sz w:val="22"/>
        </w:rPr>
        <w:t>Q2 is seasonally the peak catastrophe quarter. Allstate's disclosure of $1.72B in Q2 industry cat losses and PGR's elevated property cat ratios signal an active quarter. CB's Q2 net cat loss consensus is ~$585M — above Q1's $500M actual but below Q2 2025's $630M. The outcome of cat losses is the single biggest binary risk for the Q2 print.</w:t>
      </w:r>
    </w:p>
    <w:p>
      <w:pPr>
        <w:pStyle w:val="ListBullet"/>
        <w:ind w:left="360" w:hanging="360"/>
      </w:pPr>
      <w:r>
        <w:rPr>
          <w:rFonts w:ascii="Calibri" w:hAnsi="Calibri"/>
          <w:b/>
          <w:color w:val="525866"/>
          <w:sz w:val="22"/>
        </w:rPr>
        <w:t xml:space="preserve">Investment Income Anchor: </w:t>
      </w:r>
      <w:r>
        <w:rPr>
          <w:rFonts w:ascii="Calibri" w:hAnsi="Calibri"/>
          <w:color w:val="525866"/>
          <w:sz w:val="22"/>
        </w:rPr>
        <w:t>CB's $170B invested asset base (up from $152B a year ago) and a fixed income portfolio yield of 5.1% with new money rates of 5.5% provide a durable and growing investment income stream. Management's explicit Q2 guidance of $1.825–$1.85B is the most visible anchor for the quarter and reduces EPS uncertainty.</w:t>
      </w:r>
    </w:p>
    <w:p>
      <w:pPr>
        <w:pStyle w:val="ListBullet"/>
        <w:ind w:left="360" w:hanging="360"/>
      </w:pPr>
      <w:r>
        <w:rPr>
          <w:rFonts w:ascii="Calibri" w:hAnsi="Calibri"/>
          <w:b/>
          <w:color w:val="525866"/>
          <w:sz w:val="22"/>
        </w:rPr>
        <w:t xml:space="preserve">AI and Digital Transformation: </w:t>
      </w:r>
      <w:r>
        <w:rPr>
          <w:rFonts w:ascii="Calibri" w:hAnsi="Calibri"/>
          <w:color w:val="525866"/>
          <w:sz w:val="22"/>
        </w:rPr>
        <w:t>Management highlighted significant growth expectations in small commercial (retail and E&amp;S) over the next 5 years, enabled by AI and large language model capabilities. This is a medium-term growth catalyst that is not yet reflected in near-term estimates but supports the long-term earnings power narrative.</w:t>
      </w:r>
    </w:p>
    <w:p>
      <w:pPr>
        <w:pStyle w:val="ListBullet"/>
        <w:ind w:left="360" w:hanging="360"/>
      </w:pPr>
      <w:r>
        <w:rPr>
          <w:rFonts w:ascii="Calibri" w:hAnsi="Calibri"/>
          <w:b/>
          <w:color w:val="525866"/>
          <w:sz w:val="22"/>
        </w:rPr>
        <w:t xml:space="preserve">Macro Uncertainty: </w:t>
      </w:r>
      <w:r>
        <w:rPr>
          <w:rFonts w:ascii="Calibri" w:hAnsi="Calibri"/>
          <w:color w:val="525866"/>
          <w:sz w:val="22"/>
        </w:rPr>
        <w:t>CB introduced explicit macro uncertainty commentary in Q1 2026, flagging the Middle East conflict and potential inflationary pressures from supply chain disruption, energy costs, and fiscal/sovereign stress. No material escalation since Q1, but the macro backdrop remains a watch item for casualty loss cost trends.</w:t>
      </w:r>
    </w:p>
    <w:p>
      <w:pPr>
        <w:pStyle w:val="ListBullet"/>
        <w:ind w:left="360" w:hanging="360"/>
      </w:pPr>
      <w:r>
        <w:rPr>
          <w:rFonts w:ascii="Calibri" w:hAnsi="Calibri"/>
          <w:b/>
          <w:color w:val="525866"/>
          <w:sz w:val="22"/>
        </w:rPr>
        <w:t xml:space="preserve">MGU Model Risk (Industry): </w:t>
      </w:r>
      <w:r>
        <w:rPr>
          <w:rFonts w:ascii="Calibri" w:hAnsi="Calibri"/>
          <w:color w:val="525866"/>
          <w:sz w:val="22"/>
        </w:rPr>
        <w:t>WRB's pointed commentary on MGU model risk ("mushrooming and ultimately going to end in tears") is an industry-wide concern. CB's direct underwriting model and disciplined approach to delegated authority is a competitive differentiator in this environment.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Minimal insider activity since Q1 2026 earnings — one executive sale of modest size, executed under no 10b5-1 plan. Not a meaningful signal either way.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June 8, 2026</w:t>
            </w:r>
          </w:p>
        </w:tc>
        <w:tc>
          <w:tcPr>
            <w:tcW w:type="dxa" w:w="1234"/>
          </w:tcPr>
          <w:p>
            <w:r>
              <w:rPr>
                <w:rFonts w:ascii="Calibri" w:hAnsi="Calibri"/>
                <w:sz w:val="22"/>
              </w:rPr>
              <w:t>Juan Luis Ortega</w:t>
            </w:r>
          </w:p>
        </w:tc>
        <w:tc>
          <w:tcPr>
            <w:tcW w:type="dxa" w:w="1234"/>
          </w:tcPr>
          <w:p>
            <w:r>
              <w:rPr>
                <w:rFonts w:ascii="Calibri" w:hAnsi="Calibri"/>
                <w:sz w:val="22"/>
              </w:rPr>
              <w:t>Executive Vice President</w:t>
            </w:r>
          </w:p>
        </w:tc>
        <w:tc>
          <w:tcPr>
            <w:tcW w:type="dxa" w:w="1234"/>
          </w:tcPr>
          <w:p>
            <w:r>
              <w:rPr>
                <w:rFonts w:ascii="Calibri" w:hAnsi="Calibri"/>
                <w:sz w:val="22"/>
              </w:rPr>
              <w:t>Sale (Common Shares)</w:t>
            </w:r>
          </w:p>
        </w:tc>
        <w:tc>
          <w:tcPr>
            <w:tcW w:type="dxa" w:w="1234"/>
          </w:tcPr>
          <w:p>
            <w:r>
              <w:rPr>
                <w:rFonts w:ascii="Calibri" w:hAnsi="Calibri"/>
                <w:sz w:val="22"/>
              </w:rPr>
              <w:t>3,886</w:t>
            </w:r>
          </w:p>
        </w:tc>
        <w:tc>
          <w:tcPr>
            <w:tcW w:type="dxa" w:w="1234"/>
          </w:tcPr>
          <w:p>
            <w:r>
              <w:rPr>
                <w:rFonts w:ascii="Calibri" w:hAnsi="Calibri"/>
                <w:sz w:val="22"/>
              </w:rPr>
              <w:t>No</w:t>
            </w:r>
          </w:p>
        </w:tc>
        <w:tc>
          <w:tcPr>
            <w:tcW w:type="dxa" w:w="1234"/>
          </w:tcPr>
          <w:p>
            <w:r>
              <w:rPr>
                <w:rFonts w:ascii="Calibri" w:hAnsi="Calibri"/>
                <w:sz w:val="22"/>
              </w:rPr>
              <w:t>28,859</w:t>
            </w:r>
          </w:p>
        </w:tc>
      </w:tr>
    </w:tbl>
    <w:p>
      <w:r>
        <w:rPr>
          <w:rFonts w:ascii="Calibri" w:hAnsi="Calibri"/>
          <w:color w:val="525866"/>
          <w:sz w:val="22"/>
        </w:rPr>
        <w:t xml:space="preserve">The only insider transaction since Q1 2026 earnings was a sale of 3,886 shares by EVP Juan Luis Ortega on June 8, 2026 (filed June 10, 2026). The transaction was not executed under a 10b5-1 pre-planned trading program. At ~$321/share (approximate price on June 8), the sale represented approximately $1.25M in proceeds. Ortega retained 28,859 shares after the transaction, suggesting this was a routine liquidity event rather than a directional signal. </w:t>
      </w:r>
      <w:r>
        <w:rPr>
          <w:rFonts w:ascii="Calibri" w:hAnsi="Calibri"/>
          <w:b/>
          <w:color w:val="525866"/>
          <w:sz w:val="22"/>
        </w:rPr>
        <w:t>No insider purchases have been reported since Q1 2026 earnings.</w:t>
      </w:r>
    </w:p>
    <w:p>
      <w:r>
        <w:rPr>
          <w:rFonts w:ascii="Calibri" w:hAnsi="Calibri"/>
          <w:i/>
          <w:color w:val="525866"/>
          <w:sz w:val="22"/>
        </w:rPr>
        <w:t>Source: SEC Form 4 Filings / Insider Transaction Data.</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estimates and consensus figures are sourced from Visible Alpha and are subject to change. Past performance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