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Chubb Limited (CB)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Chubb Limited (NYSE: CB)</w:t>
            </w:r>
          </w:p>
        </w:tc>
      </w:tr>
      <w:tr>
        <w:tc>
          <w:tcPr>
            <w:tcW w:type="dxa" w:w="4320"/>
          </w:tcPr>
          <w:p>
            <w:r>
              <w:rPr>
                <w:rFonts w:ascii="Calibri" w:hAnsi="Calibri"/>
                <w:b/>
                <w:sz w:val="22"/>
              </w:rPr>
              <w:t>Earnings Date</w:t>
            </w:r>
          </w:p>
        </w:tc>
        <w:tc>
          <w:tcPr>
            <w:tcW w:type="dxa" w:w="4320"/>
          </w:tcPr>
          <w:p>
            <w:r>
              <w:rPr>
                <w:rFonts w:ascii="Calibri" w:hAnsi="Calibri"/>
                <w:sz w:val="22"/>
              </w:rPr>
              <w:t>July 22, 2026 —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Stock Price (7/20/26)</w:t>
            </w:r>
          </w:p>
        </w:tc>
        <w:tc>
          <w:tcPr>
            <w:tcW w:type="dxa" w:w="4320"/>
          </w:tcPr>
          <w:p>
            <w:r>
              <w:rPr>
                <w:rFonts w:ascii="Calibri" w:hAnsi="Calibri"/>
                <w:sz w:val="22"/>
              </w:rPr>
              <w:t>$352.53</w:t>
            </w:r>
          </w:p>
        </w:tc>
      </w:tr>
      <w:tr>
        <w:tc>
          <w:tcPr>
            <w:tcW w:type="dxa" w:w="4320"/>
          </w:tcPr>
          <w:p>
            <w:r>
              <w:rPr>
                <w:rFonts w:ascii="Calibri" w:hAnsi="Calibri"/>
                <w:b/>
                <w:sz w:val="22"/>
              </w:rPr>
              <w:t>NTM P/E</w:t>
            </w:r>
          </w:p>
        </w:tc>
        <w:tc>
          <w:tcPr>
            <w:tcW w:type="dxa" w:w="4320"/>
          </w:tcPr>
          <w:p>
            <w:r>
              <w:rPr>
                <w:rFonts w:ascii="Calibri" w:hAnsi="Calibri"/>
                <w:sz w:val="22"/>
              </w:rPr>
              <w:t>12.49x</w:t>
            </w:r>
          </w:p>
        </w:tc>
      </w:tr>
      <w:tr>
        <w:tc>
          <w:tcPr>
            <w:tcW w:type="dxa" w:w="4320"/>
          </w:tcPr>
          <w:p>
            <w:r>
              <w:rPr>
                <w:rFonts w:ascii="Calibri" w:hAnsi="Calibri"/>
                <w:b/>
                <w:sz w:val="22"/>
              </w:rPr>
              <w:t>NTM P/Book</w:t>
            </w:r>
          </w:p>
        </w:tc>
        <w:tc>
          <w:tcPr>
            <w:tcW w:type="dxa" w:w="4320"/>
          </w:tcPr>
          <w:p>
            <w:r>
              <w:rPr>
                <w:rFonts w:ascii="Calibri" w:hAnsi="Calibri"/>
                <w:sz w:val="22"/>
              </w:rPr>
              <w:t>1.61x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layup — consensus sits at a manageable bar on core operating EPS ($6.74) and the combined ratio (~85.8%), yet the wildcard is Q2 catastrophe activity, which peers signal was elevated (Allstate Q2 cats of $1.72B) and could pressure the headline combined ratio even as the underlying ex-cat margin remains pristine.</w:t>
      </w:r>
    </w:p>
    <w:p>
      <w:r>
        <w:rPr>
          <w:rFonts w:ascii="Calibri" w:hAnsi="Calibri"/>
          <w:color w:val="525866"/>
          <w:sz w:val="22"/>
        </w:rPr>
        <w:t xml:space="preserve">Heading into Q2 2026 earnings, Chubb's setup is broadly favorable: consensus core operating EPS of $6.74 represents a modest bar relative to the company's demonstrated earnings power, and the Q1 2026 print ($6.82, beating the $6.59 consensus) established strong momentum. Management's tone on the Q1 call was confident — CEO Evan Greenberg reiterated conviction in </w:t>
      </w:r>
      <w:r>
        <w:rPr>
          <w:rFonts w:ascii="Calibri" w:hAnsi="Calibri"/>
          <w:i/>
          <w:color w:val="525866"/>
          <w:sz w:val="22"/>
        </w:rPr>
        <w:t>"double-digit growth in EPS and tangible book value"</w:t>
      </w:r>
      <w:r>
        <w:rPr>
          <w:rFonts w:ascii="Calibri" w:hAnsi="Calibri"/>
          <w:color w:val="525866"/>
          <w:sz w:val="22"/>
        </w:rPr>
        <w:t xml:space="preserve"> for the full year — and the investment income engine continues to compound, with Q2 guidance of $1.825–$1.85B in adjusted NII providing a reliable earnings floor. Estimate revisions have been broadly stable since the Q1 print, with the 2026FY EPS consensus edging up from ~$6.78 to ~$6.86, suggesting the Street is incrementally more constructive but not euphoric. The stock has rallied ~7% since last earnings (vs. KIE +10%), implying the market has partially priced in continued execution but has not fully re-rated CB relative to the sector. The key wildcard is </w:t>
      </w:r>
      <w:r>
        <w:rPr>
          <w:rFonts w:ascii="Calibri" w:hAnsi="Calibri"/>
          <w:b/>
          <w:color w:val="525866"/>
          <w:sz w:val="22"/>
        </w:rPr>
        <w:t>catastrophe losses</w:t>
      </w:r>
      <w:r>
        <w:rPr>
          <w:rFonts w:ascii="Calibri" w:hAnsi="Calibri"/>
          <w:color w:val="525866"/>
          <w:sz w:val="22"/>
        </w:rPr>
        <w:t>: Allstate disclosed Q2 2026 industry cats of $1.72B (June alone $563M), and Travelers absorbed ~$400M after-tax in Q2 cats — both suggesting a more active weather quarter than Q1's $500M pre-tax. If Chubb's cat load comes in above the ~$600–700M range implied by consensus, the combined ratio could overshoot the ~85.8% estimate, though the company's disciplined property exposure management (deliberate shrinkage of shared/layered large-account property in Q1) should provide some insulation.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core operating EPS ($6.74 vs. $6.14 actual in Q2 2025, +9.7% YoY) and a combined ratio of ~85.8% — both achievable given the underlying ex-cat margin of ~82% and investment income tailwinds. The bigger swing factor is catastrophe losses, where any upside surprise vs. consensus could push the combined ratio above 87% and pressure the EPS beat.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Operating EPS (Diluted)</w:t>
            </w:r>
          </w:p>
        </w:tc>
        <w:tc>
          <w:tcPr>
            <w:tcW w:type="dxa" w:w="1234"/>
          </w:tcPr>
          <w:p>
            <w:r>
              <w:rPr>
                <w:rFonts w:ascii="Calibri" w:hAnsi="Calibri"/>
                <w:sz w:val="22"/>
              </w:rPr>
              <w:t>$6.82</w:t>
            </w:r>
          </w:p>
        </w:tc>
        <w:tc>
          <w:tcPr>
            <w:tcW w:type="dxa" w:w="1234"/>
          </w:tcPr>
          <w:p>
            <w:r>
              <w:rPr>
                <w:rFonts w:ascii="Calibri" w:hAnsi="Calibri"/>
                <w:sz w:val="22"/>
              </w:rPr>
              <w:t>$6.14</w:t>
            </w:r>
          </w:p>
        </w:tc>
        <w:tc>
          <w:tcPr>
            <w:tcW w:type="dxa" w:w="1234"/>
          </w:tcPr>
          <w:p>
            <w:r>
              <w:rPr>
                <w:rFonts w:ascii="Calibri" w:hAnsi="Calibri"/>
                <w:sz w:val="22"/>
              </w:rPr>
              <w:t>$6.74</w:t>
            </w:r>
          </w:p>
        </w:tc>
        <w:tc>
          <w:tcPr>
            <w:tcW w:type="dxa" w:w="1234"/>
          </w:tcPr>
          <w:p>
            <w:r>
              <w:rPr>
                <w:rFonts w:ascii="Calibri" w:hAnsi="Calibri"/>
                <w:sz w:val="22"/>
              </w:rPr>
              <w:t>+9.7%</w:t>
            </w:r>
          </w:p>
        </w:tc>
        <w:tc>
          <w:tcPr>
            <w:tcW w:type="dxa" w:w="1234"/>
          </w:tcPr>
          <w:p>
            <w:r>
              <w:rPr>
                <w:rFonts w:ascii="Calibri" w:hAnsi="Calibri"/>
                <w:sz w:val="22"/>
              </w:rPr>
              <w:t>Double-digit EPS growth (FY)</w:t>
            </w:r>
          </w:p>
        </w:tc>
        <w:tc>
          <w:tcPr>
            <w:tcW w:type="dxa" w:w="1234"/>
          </w:tcPr>
          <w:p>
            <w:r>
              <w:rPr>
                <w:rFonts w:ascii="Calibri" w:hAnsi="Calibri"/>
                <w:sz w:val="22"/>
              </w:rPr>
              <w:t>Tracking guidance</w:t>
            </w:r>
          </w:p>
        </w:tc>
      </w:tr>
      <w:tr>
        <w:tc>
          <w:tcPr>
            <w:tcW w:type="dxa" w:w="1234"/>
          </w:tcPr>
          <w:p>
            <w:r>
              <w:rPr>
                <w:rFonts w:ascii="Calibri" w:hAnsi="Calibri"/>
                <w:sz w:val="22"/>
              </w:rPr>
              <w:t>P&amp;C Combined Ratio (%)</w:t>
            </w:r>
          </w:p>
        </w:tc>
        <w:tc>
          <w:tcPr>
            <w:tcW w:type="dxa" w:w="1234"/>
          </w:tcPr>
          <w:p>
            <w:r>
              <w:rPr>
                <w:rFonts w:ascii="Calibri" w:hAnsi="Calibri"/>
                <w:sz w:val="22"/>
              </w:rPr>
              <w:t>84.0%</w:t>
            </w:r>
          </w:p>
        </w:tc>
        <w:tc>
          <w:tcPr>
            <w:tcW w:type="dxa" w:w="1234"/>
          </w:tcPr>
          <w:p>
            <w:r>
              <w:rPr>
                <w:rFonts w:ascii="Calibri" w:hAnsi="Calibri"/>
                <w:sz w:val="22"/>
              </w:rPr>
              <w:t>85.6%</w:t>
            </w:r>
          </w:p>
        </w:tc>
        <w:tc>
          <w:tcPr>
            <w:tcW w:type="dxa" w:w="1234"/>
          </w:tcPr>
          <w:p>
            <w:r>
              <w:rPr>
                <w:rFonts w:ascii="Calibri" w:hAnsi="Calibri"/>
                <w:sz w:val="22"/>
              </w:rPr>
              <w:t>~85.8%</w:t>
            </w:r>
          </w:p>
        </w:tc>
        <w:tc>
          <w:tcPr>
            <w:tcW w:type="dxa" w:w="1234"/>
          </w:tcPr>
          <w:p>
            <w:r>
              <w:rPr>
                <w:rFonts w:ascii="Calibri" w:hAnsi="Calibri"/>
                <w:sz w:val="22"/>
              </w:rPr>
              <w:t>+0.2 pts YoY</w:t>
            </w:r>
          </w:p>
        </w:tc>
        <w:tc>
          <w:tcPr>
            <w:tcW w:type="dxa" w:w="1234"/>
          </w:tcPr>
          <w:p>
            <w:r>
              <w:rPr>
                <w:rFonts w:ascii="Calibri" w:hAnsi="Calibri"/>
                <w:sz w:val="22"/>
              </w:rPr>
              <w:t>No explicit Q2 guide</w:t>
            </w:r>
          </w:p>
        </w:tc>
        <w:tc>
          <w:tcPr>
            <w:tcW w:type="dxa" w:w="1234"/>
          </w:tcPr>
          <w:p>
            <w:r>
              <w:rPr>
                <w:rFonts w:ascii="Calibri" w:hAnsi="Calibri"/>
                <w:sz w:val="22"/>
              </w:rPr>
              <w:t>N/A</w:t>
            </w:r>
          </w:p>
        </w:tc>
      </w:tr>
      <w:tr>
        <w:tc>
          <w:tcPr>
            <w:tcW w:type="dxa" w:w="1234"/>
          </w:tcPr>
          <w:p>
            <w:r>
              <w:rPr>
                <w:rFonts w:ascii="Calibri" w:hAnsi="Calibri"/>
                <w:sz w:val="22"/>
              </w:rPr>
              <w:t>P&amp;C Net Premiums Written</w:t>
            </w:r>
          </w:p>
        </w:tc>
        <w:tc>
          <w:tcPr>
            <w:tcW w:type="dxa" w:w="1234"/>
          </w:tcPr>
          <w:p>
            <w:r>
              <w:rPr>
                <w:rFonts w:ascii="Calibri" w:hAnsi="Calibri"/>
                <w:sz w:val="22"/>
              </w:rPr>
              <w:t>$11.72B</w:t>
            </w:r>
          </w:p>
        </w:tc>
        <w:tc>
          <w:tcPr>
            <w:tcW w:type="dxa" w:w="1234"/>
          </w:tcPr>
          <w:p>
            <w:r>
              <w:rPr>
                <w:rFonts w:ascii="Calibri" w:hAnsi="Calibri"/>
                <w:sz w:val="22"/>
              </w:rPr>
              <w:t>$12.39B</w:t>
            </w:r>
          </w:p>
        </w:tc>
        <w:tc>
          <w:tcPr>
            <w:tcW w:type="dxa" w:w="1234"/>
          </w:tcPr>
          <w:p>
            <w:r>
              <w:rPr>
                <w:rFonts w:ascii="Calibri" w:hAnsi="Calibri"/>
                <w:sz w:val="22"/>
              </w:rPr>
              <w:t>$12.97B</w:t>
            </w:r>
          </w:p>
        </w:tc>
        <w:tc>
          <w:tcPr>
            <w:tcW w:type="dxa" w:w="1234"/>
          </w:tcPr>
          <w:p>
            <w:r>
              <w:rPr>
                <w:rFonts w:ascii="Calibri" w:hAnsi="Calibri"/>
                <w:sz w:val="22"/>
              </w:rPr>
              <w:t>+4.7%</w:t>
            </w:r>
          </w:p>
        </w:tc>
        <w:tc>
          <w:tcPr>
            <w:tcW w:type="dxa" w:w="1234"/>
          </w:tcPr>
          <w:p>
            <w:r>
              <w:rPr>
                <w:rFonts w:ascii="Calibri" w:hAnsi="Calibri"/>
                <w:sz w:val="22"/>
              </w:rPr>
              <w:t>No explicit Q2 guide</w:t>
            </w:r>
          </w:p>
        </w:tc>
        <w:tc>
          <w:tcPr>
            <w:tcW w:type="dxa" w:w="1234"/>
          </w:tcPr>
          <w:p>
            <w:r>
              <w:rPr>
                <w:rFonts w:ascii="Calibri" w:hAnsi="Calibri"/>
                <w:sz w:val="22"/>
              </w:rPr>
              <w:t>N/A</w:t>
            </w:r>
          </w:p>
        </w:tc>
      </w:tr>
      <w:tr>
        <w:tc>
          <w:tcPr>
            <w:tcW w:type="dxa" w:w="1234"/>
          </w:tcPr>
          <w:p>
            <w:r>
              <w:rPr>
                <w:rFonts w:ascii="Calibri" w:hAnsi="Calibri"/>
                <w:sz w:val="22"/>
              </w:rPr>
              <w:t>Adj. Net Investment Income (P&amp;C)</w:t>
            </w:r>
          </w:p>
        </w:tc>
        <w:tc>
          <w:tcPr>
            <w:tcW w:type="dxa" w:w="1234"/>
          </w:tcPr>
          <w:p>
            <w:r>
              <w:rPr>
                <w:rFonts w:ascii="Calibri" w:hAnsi="Calibri"/>
                <w:sz w:val="22"/>
              </w:rPr>
              <w:t>$1.533B</w:t>
            </w:r>
          </w:p>
        </w:tc>
        <w:tc>
          <w:tcPr>
            <w:tcW w:type="dxa" w:w="1234"/>
          </w:tcPr>
          <w:p>
            <w:r>
              <w:rPr>
                <w:rFonts w:ascii="Calibri" w:hAnsi="Calibri"/>
                <w:sz w:val="22"/>
              </w:rPr>
              <w:t>$1.413B</w:t>
            </w:r>
          </w:p>
        </w:tc>
        <w:tc>
          <w:tcPr>
            <w:tcW w:type="dxa" w:w="1234"/>
          </w:tcPr>
          <w:p>
            <w:r>
              <w:rPr>
                <w:rFonts w:ascii="Calibri" w:hAnsi="Calibri"/>
                <w:sz w:val="22"/>
              </w:rPr>
              <w:t>$1.536B</w:t>
            </w:r>
          </w:p>
        </w:tc>
        <w:tc>
          <w:tcPr>
            <w:tcW w:type="dxa" w:w="1234"/>
          </w:tcPr>
          <w:p>
            <w:r>
              <w:rPr>
                <w:rFonts w:ascii="Calibri" w:hAnsi="Calibri"/>
                <w:sz w:val="22"/>
              </w:rPr>
              <w:t>+8.7%</w:t>
            </w:r>
          </w:p>
        </w:tc>
        <w:tc>
          <w:tcPr>
            <w:tcW w:type="dxa" w:w="1234"/>
          </w:tcPr>
          <w:p>
            <w:r>
              <w:rPr>
                <w:rFonts w:ascii="Calibri" w:hAnsi="Calibri"/>
                <w:sz w:val="22"/>
              </w:rPr>
              <w:t>$1.825–$1.85B (total co.)</w:t>
            </w:r>
          </w:p>
        </w:tc>
        <w:tc>
          <w:tcPr>
            <w:tcW w:type="dxa" w:w="1234"/>
          </w:tcPr>
          <w:p>
            <w:r>
              <w:rPr>
                <w:rFonts w:ascii="Calibri" w:hAnsi="Calibri"/>
                <w:sz w:val="22"/>
              </w:rPr>
              <w:t>Within guided range</w:t>
            </w:r>
          </w:p>
        </w:tc>
      </w:tr>
      <w:tr>
        <w:tc>
          <w:tcPr>
            <w:tcW w:type="dxa" w:w="1234"/>
          </w:tcPr>
          <w:p>
            <w:r>
              <w:rPr>
                <w:rFonts w:ascii="Calibri" w:hAnsi="Calibri"/>
                <w:sz w:val="22"/>
              </w:rPr>
              <w:t>CAY Ex-Cat Combined Ratio (%)</w:t>
            </w:r>
          </w:p>
        </w:tc>
        <w:tc>
          <w:tcPr>
            <w:tcW w:type="dxa" w:w="1234"/>
          </w:tcPr>
          <w:p>
            <w:r>
              <w:rPr>
                <w:rFonts w:ascii="Calibri" w:hAnsi="Calibri"/>
                <w:sz w:val="22"/>
              </w:rPr>
              <w:t>82.1%</w:t>
            </w:r>
          </w:p>
        </w:tc>
        <w:tc>
          <w:tcPr>
            <w:tcW w:type="dxa" w:w="1234"/>
          </w:tcPr>
          <w:p>
            <w:r>
              <w:rPr>
                <w:rFonts w:ascii="Calibri" w:hAnsi="Calibri"/>
                <w:sz w:val="22"/>
              </w:rPr>
              <w:t>~86.5%</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explicit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CB Q1 2026 Earnings Release (April 21, 2026); CB Q1 2026 Earnings Call Transcript (April 22,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Panel A: Core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$6.82</w:t>
            </w:r>
          </w:p>
        </w:tc>
        <w:tc>
          <w:tcPr>
            <w:tcW w:type="dxa" w:w="1728"/>
          </w:tcPr>
          <w:p>
            <w:r>
              <w:rPr>
                <w:rFonts w:ascii="Calibri" w:hAnsi="Calibri"/>
                <w:sz w:val="22"/>
              </w:rPr>
              <w:t>$6.59</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$7.52</w:t>
            </w:r>
          </w:p>
        </w:tc>
        <w:tc>
          <w:tcPr>
            <w:tcW w:type="dxa" w:w="1728"/>
          </w:tcPr>
          <w:p>
            <w:r>
              <w:rPr>
                <w:rFonts w:ascii="Calibri" w:hAnsi="Calibri"/>
                <w:sz w:val="22"/>
              </w:rPr>
              <w:t>$6.75</w:t>
            </w:r>
          </w:p>
        </w:tc>
        <w:tc>
          <w:tcPr>
            <w:tcW w:type="dxa" w:w="1728"/>
          </w:tcPr>
          <w:p>
            <w:r>
              <w:rPr>
                <w:rFonts w:ascii="Calibri" w:hAnsi="Calibri"/>
                <w:sz w:val="22"/>
              </w:rPr>
              <w:t>+11.4%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$7.49</w:t>
            </w:r>
          </w:p>
        </w:tc>
        <w:tc>
          <w:tcPr>
            <w:tcW w:type="dxa" w:w="1728"/>
          </w:tcPr>
          <w:p>
            <w:r>
              <w:rPr>
                <w:rFonts w:ascii="Calibri" w:hAnsi="Calibri"/>
                <w:sz w:val="22"/>
              </w:rPr>
              <w:t>$6.08</w:t>
            </w:r>
          </w:p>
        </w:tc>
        <w:tc>
          <w:tcPr>
            <w:tcW w:type="dxa" w:w="1728"/>
          </w:tcPr>
          <w:p>
            <w:r>
              <w:rPr>
                <w:rFonts w:ascii="Calibri" w:hAnsi="Calibri"/>
                <w:sz w:val="22"/>
              </w:rPr>
              <w:t>+23.2%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$6.14</w:t>
            </w:r>
          </w:p>
        </w:tc>
        <w:tc>
          <w:tcPr>
            <w:tcW w:type="dxa" w:w="1728"/>
          </w:tcPr>
          <w:p>
            <w:r>
              <w:rPr>
                <w:rFonts w:ascii="Calibri" w:hAnsi="Calibri"/>
                <w:sz w:val="22"/>
              </w:rPr>
              <w:t>$5.97</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$3.69</w:t>
            </w:r>
          </w:p>
        </w:tc>
        <w:tc>
          <w:tcPr>
            <w:tcW w:type="dxa" w:w="1728"/>
          </w:tcPr>
          <w:p>
            <w:r>
              <w:rPr>
                <w:rFonts w:ascii="Calibri" w:hAnsi="Calibri"/>
                <w:sz w:val="22"/>
              </w:rPr>
              <w:t>$3.16</w:t>
            </w:r>
          </w:p>
        </w:tc>
        <w:tc>
          <w:tcPr>
            <w:tcW w:type="dxa" w:w="1728"/>
          </w:tcPr>
          <w:p>
            <w:r>
              <w:rPr>
                <w:rFonts w:ascii="Calibri" w:hAnsi="Calibri"/>
                <w:sz w:val="22"/>
              </w:rPr>
              <w:t>+16.8%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$6.02</w:t>
            </w:r>
          </w:p>
        </w:tc>
        <w:tc>
          <w:tcPr>
            <w:tcW w:type="dxa" w:w="1728"/>
          </w:tcPr>
          <w:p>
            <w:r>
              <w:rPr>
                <w:rFonts w:ascii="Calibri" w:hAnsi="Calibri"/>
                <w:sz w:val="22"/>
              </w:rPr>
              <w:t>$5.42</w:t>
            </w:r>
          </w:p>
        </w:tc>
        <w:tc>
          <w:tcPr>
            <w:tcW w:type="dxa" w:w="1728"/>
          </w:tcPr>
          <w:p>
            <w:r>
              <w:rPr>
                <w:rFonts w:ascii="Calibri" w:hAnsi="Calibri"/>
                <w:sz w:val="22"/>
              </w:rPr>
              <w:t>+11.1%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$5.72</w:t>
            </w:r>
          </w:p>
        </w:tc>
        <w:tc>
          <w:tcPr>
            <w:tcW w:type="dxa" w:w="1728"/>
          </w:tcPr>
          <w:p>
            <w:r>
              <w:rPr>
                <w:rFonts w:ascii="Calibri" w:hAnsi="Calibri"/>
                <w:sz w:val="22"/>
              </w:rPr>
              <w:t>$5.00</w:t>
            </w:r>
          </w:p>
        </w:tc>
        <w:tc>
          <w:tcPr>
            <w:tcW w:type="dxa" w:w="1728"/>
          </w:tcPr>
          <w:p>
            <w:r>
              <w:rPr>
                <w:rFonts w:ascii="Calibri" w:hAnsi="Calibri"/>
                <w:sz w:val="22"/>
              </w:rPr>
              <w:t>+14.4%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Panel B: P&amp;C Combined Ratio</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84.0%</w:t>
            </w:r>
          </w:p>
        </w:tc>
        <w:tc>
          <w:tcPr>
            <w:tcW w:type="dxa" w:w="1728"/>
          </w:tcPr>
          <w:p>
            <w:r>
              <w:rPr>
                <w:rFonts w:ascii="Calibri" w:hAnsi="Calibri"/>
                <w:sz w:val="22"/>
              </w:rPr>
              <w:t>85.3%</w:t>
            </w:r>
          </w:p>
        </w:tc>
        <w:tc>
          <w:tcPr>
            <w:tcW w:type="dxa" w:w="1728"/>
          </w:tcPr>
          <w:p>
            <w:r>
              <w:rPr>
                <w:rFonts w:ascii="Calibri" w:hAnsi="Calibri"/>
                <w:sz w:val="22"/>
              </w:rPr>
              <w:t>−1.3 pts</w:t>
            </w:r>
          </w:p>
        </w:tc>
        <w:tc>
          <w:tcPr>
            <w:tcW w:type="dxa" w:w="1728"/>
          </w:tcPr>
          <w:p>
            <w:r>
              <w:rPr>
                <w:rFonts w:ascii="Calibri" w:hAnsi="Calibri"/>
                <w:b/>
                <w:color w:val="30A46C"/>
                <w:sz w:val="22"/>
              </w:rPr>
              <w:t>Beat (lower = better)</w:t>
            </w:r>
          </w:p>
        </w:tc>
      </w:tr>
      <w:tr>
        <w:tc>
          <w:tcPr>
            <w:tcW w:type="dxa" w:w="1728"/>
          </w:tcPr>
          <w:p>
            <w:r>
              <w:rPr>
                <w:rFonts w:ascii="Calibri" w:hAnsi="Calibri"/>
                <w:sz w:val="22"/>
              </w:rPr>
              <w:t>Q4 2025</w:t>
            </w:r>
          </w:p>
        </w:tc>
        <w:tc>
          <w:tcPr>
            <w:tcW w:type="dxa" w:w="1728"/>
          </w:tcPr>
          <w:p>
            <w:r>
              <w:rPr>
                <w:rFonts w:ascii="Calibri" w:hAnsi="Calibri"/>
                <w:sz w:val="22"/>
              </w:rPr>
              <w:t>81.2%</w:t>
            </w:r>
          </w:p>
        </w:tc>
        <w:tc>
          <w:tcPr>
            <w:tcW w:type="dxa" w:w="1728"/>
          </w:tcPr>
          <w:p>
            <w:r>
              <w:rPr>
                <w:rFonts w:ascii="Calibri" w:hAnsi="Calibri"/>
                <w:sz w:val="22"/>
              </w:rPr>
              <w:t>84.4%</w:t>
            </w:r>
          </w:p>
        </w:tc>
        <w:tc>
          <w:tcPr>
            <w:tcW w:type="dxa" w:w="1728"/>
          </w:tcPr>
          <w:p>
            <w:r>
              <w:rPr>
                <w:rFonts w:ascii="Calibri" w:hAnsi="Calibri"/>
                <w:sz w:val="22"/>
              </w:rPr>
              <w:t>−3.2 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81.8%</w:t>
            </w:r>
          </w:p>
        </w:tc>
        <w:tc>
          <w:tcPr>
            <w:tcW w:type="dxa" w:w="1728"/>
          </w:tcPr>
          <w:p>
            <w:r>
              <w:rPr>
                <w:rFonts w:ascii="Calibri" w:hAnsi="Calibri"/>
                <w:sz w:val="22"/>
              </w:rPr>
              <w:t>87.5%</w:t>
            </w:r>
          </w:p>
        </w:tc>
        <w:tc>
          <w:tcPr>
            <w:tcW w:type="dxa" w:w="1728"/>
          </w:tcPr>
          <w:p>
            <w:r>
              <w:rPr>
                <w:rFonts w:ascii="Calibri" w:hAnsi="Calibri"/>
                <w:sz w:val="22"/>
              </w:rPr>
              <w:t>−5.7 pts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85.6%</w:t>
            </w:r>
          </w:p>
        </w:tc>
        <w:tc>
          <w:tcPr>
            <w:tcW w:type="dxa" w:w="1728"/>
          </w:tcPr>
          <w:p>
            <w:r>
              <w:rPr>
                <w:rFonts w:ascii="Calibri" w:hAnsi="Calibri"/>
                <w:sz w:val="22"/>
              </w:rPr>
              <w:t>86.5%</w:t>
            </w:r>
          </w:p>
        </w:tc>
        <w:tc>
          <w:tcPr>
            <w:tcW w:type="dxa" w:w="1728"/>
          </w:tcPr>
          <w:p>
            <w:r>
              <w:rPr>
                <w:rFonts w:ascii="Calibri" w:hAnsi="Calibri"/>
                <w:sz w:val="22"/>
              </w:rPr>
              <w:t>−0.9 pts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95.7%</w:t>
            </w:r>
          </w:p>
        </w:tc>
        <w:tc>
          <w:tcPr>
            <w:tcW w:type="dxa" w:w="1728"/>
          </w:tcPr>
          <w:p>
            <w:r>
              <w:rPr>
                <w:rFonts w:ascii="Calibri" w:hAnsi="Calibri"/>
                <w:sz w:val="22"/>
              </w:rPr>
              <w:t>98.9%</w:t>
            </w:r>
          </w:p>
        </w:tc>
        <w:tc>
          <w:tcPr>
            <w:tcW w:type="dxa" w:w="1728"/>
          </w:tcPr>
          <w:p>
            <w:r>
              <w:rPr>
                <w:rFonts w:ascii="Calibri" w:hAnsi="Calibri"/>
                <w:sz w:val="22"/>
              </w:rPr>
              <w:t>−3.2 pts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85.7%</w:t>
            </w:r>
          </w:p>
        </w:tc>
        <w:tc>
          <w:tcPr>
            <w:tcW w:type="dxa" w:w="1728"/>
          </w:tcPr>
          <w:p>
            <w:r>
              <w:rPr>
                <w:rFonts w:ascii="Calibri" w:hAnsi="Calibri"/>
                <w:sz w:val="22"/>
              </w:rPr>
              <w:t>88.3%</w:t>
            </w:r>
          </w:p>
        </w:tc>
        <w:tc>
          <w:tcPr>
            <w:tcW w:type="dxa" w:w="1728"/>
          </w:tcPr>
          <w:p>
            <w:r>
              <w:rPr>
                <w:rFonts w:ascii="Calibri" w:hAnsi="Calibri"/>
                <w:sz w:val="22"/>
              </w:rPr>
              <w:t>−2.6 pts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87.7%</w:t>
            </w:r>
          </w:p>
        </w:tc>
        <w:tc>
          <w:tcPr>
            <w:tcW w:type="dxa" w:w="1728"/>
          </w:tcPr>
          <w:p>
            <w:r>
              <w:rPr>
                <w:rFonts w:ascii="Calibri" w:hAnsi="Calibri"/>
                <w:sz w:val="22"/>
              </w:rPr>
              <w:t>90.3%</w:t>
            </w:r>
          </w:p>
        </w:tc>
        <w:tc>
          <w:tcPr>
            <w:tcW w:type="dxa" w:w="1728"/>
          </w:tcPr>
          <w:p>
            <w:r>
              <w:rPr>
                <w:rFonts w:ascii="Calibri" w:hAnsi="Calibri"/>
                <w:sz w:val="22"/>
              </w:rPr>
              <w:t>−2.6 pts</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Chubb has beaten consensus on both core operating EPS and the P&amp;C combined ratio in every quarter with available data — a remarkably consistent track record of under-promising and over-delivering, with the combined ratio beat averaging ~3 points over the last six quarters.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only explicit Q2 guidance is adjusted NII of $1.825–$1.85B (total company), which consensus is tracking within. The broader tone from the Q1 call was confident but notably more pointed on property market softening — Greenberg described large-account property pricing as "dumb" and flagged accelerating rate declines of 25–30% in shared/layered programs. No post-earnings guidance revisions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 Net Investment Income (Q2 2026, total co.)</w:t>
            </w:r>
          </w:p>
        </w:tc>
        <w:tc>
          <w:tcPr>
            <w:tcW w:type="dxa" w:w="1728"/>
          </w:tcPr>
          <w:p>
            <w:r>
              <w:rPr>
                <w:rFonts w:ascii="Calibri" w:hAnsi="Calibri"/>
                <w:sz w:val="22"/>
              </w:rPr>
              <w:t>$1.825B – $1.850B</w:t>
            </w:r>
          </w:p>
        </w:tc>
        <w:tc>
          <w:tcPr>
            <w:tcW w:type="dxa" w:w="1728"/>
          </w:tcPr>
          <w:p>
            <w:r>
              <w:rPr>
                <w:rFonts w:ascii="Calibri" w:hAnsi="Calibri"/>
                <w:sz w:val="22"/>
              </w:rPr>
              <w:t>—</w:t>
            </w:r>
          </w:p>
        </w:tc>
        <w:tc>
          <w:tcPr>
            <w:tcW w:type="dxa" w:w="1728"/>
          </w:tcPr>
          <w:p>
            <w:r>
              <w:rPr>
                <w:rFonts w:ascii="Calibri" w:hAnsi="Calibri"/>
                <w:sz w:val="22"/>
              </w:rPr>
              <w:t>~$1.836B (P&amp;C segment)</w:t>
            </w:r>
          </w:p>
        </w:tc>
        <w:tc>
          <w:tcPr>
            <w:tcW w:type="dxa" w:w="1728"/>
          </w:tcPr>
          <w:p>
            <w:r>
              <w:rPr>
                <w:rFonts w:ascii="Calibri" w:hAnsi="Calibri"/>
                <w:sz w:val="22"/>
              </w:rPr>
              <w:t>Unchanged; consensus within guided range</w:t>
            </w:r>
          </w:p>
        </w:tc>
      </w:tr>
      <w:tr>
        <w:tc>
          <w:tcPr>
            <w:tcW w:type="dxa" w:w="1728"/>
          </w:tcPr>
          <w:p>
            <w:r>
              <w:rPr>
                <w:rFonts w:ascii="Calibri" w:hAnsi="Calibri"/>
                <w:sz w:val="22"/>
              </w:rPr>
              <w:t>Core Operating Effective Tax Rate (FY2026)</w:t>
            </w:r>
          </w:p>
        </w:tc>
        <w:tc>
          <w:tcPr>
            <w:tcW w:type="dxa" w:w="1728"/>
          </w:tcPr>
          <w:p>
            <w:r>
              <w:rPr>
                <w:rFonts w:ascii="Calibri" w:hAnsi="Calibri"/>
                <w:sz w:val="22"/>
              </w:rPr>
              <w:t>19.5% – 20.0%</w:t>
            </w:r>
          </w:p>
        </w:tc>
        <w:tc>
          <w:tcPr>
            <w:tcW w:type="dxa" w:w="1728"/>
          </w:tcPr>
          <w:p>
            <w:r>
              <w:rPr>
                <w:rFonts w:ascii="Calibri" w:hAnsi="Calibri"/>
                <w:sz w:val="22"/>
              </w:rPr>
              <w:t>—</w:t>
            </w:r>
          </w:p>
        </w:tc>
        <w:tc>
          <w:tcPr>
            <w:tcW w:type="dxa" w:w="1728"/>
          </w:tcPr>
          <w:p>
            <w:r>
              <w:rPr>
                <w:rFonts w:ascii="Calibri" w:hAnsi="Calibri"/>
                <w:sz w:val="22"/>
              </w:rPr>
              <w:t>~19.5%</w:t>
            </w:r>
          </w:p>
        </w:tc>
        <w:tc>
          <w:tcPr>
            <w:tcW w:type="dxa" w:w="1728"/>
          </w:tcPr>
          <w:p>
            <w:r>
              <w:rPr>
                <w:rFonts w:ascii="Calibri" w:hAnsi="Calibri"/>
                <w:sz w:val="22"/>
              </w:rPr>
              <w:t>Unchanged; Q1 actual of 19.3% was slightly below range due to equity award timing</w:t>
            </w:r>
          </w:p>
        </w:tc>
      </w:tr>
      <w:tr>
        <w:tc>
          <w:tcPr>
            <w:tcW w:type="dxa" w:w="1728"/>
          </w:tcPr>
          <w:p>
            <w:r>
              <w:rPr>
                <w:rFonts w:ascii="Calibri" w:hAnsi="Calibri"/>
                <w:sz w:val="22"/>
              </w:rPr>
              <w:t>FY2026 Operating EPS / TBV Growth</w:t>
            </w:r>
          </w:p>
        </w:tc>
        <w:tc>
          <w:tcPr>
            <w:tcW w:type="dxa" w:w="1728"/>
          </w:tcPr>
          <w:p>
            <w:r>
              <w:rPr>
                <w:rFonts w:ascii="Calibri" w:hAnsi="Calibri"/>
                <w:sz w:val="22"/>
              </w:rPr>
              <w:t>"Double-digit growth" in EPS and TBV (qualitative)</w:t>
            </w:r>
          </w:p>
        </w:tc>
        <w:tc>
          <w:tcPr>
            <w:tcW w:type="dxa" w:w="1728"/>
          </w:tcPr>
          <w:p>
            <w:r>
              <w:rPr>
                <w:rFonts w:ascii="Calibri" w:hAnsi="Calibri"/>
                <w:sz w:val="22"/>
              </w:rPr>
              <w:t>—</w:t>
            </w:r>
          </w:p>
        </w:tc>
        <w:tc>
          <w:tcPr>
            <w:tcW w:type="dxa" w:w="1728"/>
          </w:tcPr>
          <w:p>
            <w:r>
              <w:rPr>
                <w:rFonts w:ascii="Calibri" w:hAnsi="Calibri"/>
                <w:sz w:val="22"/>
              </w:rPr>
              <w:t>FY2026 EPS consensus ~$27.20</w:t>
            </w:r>
          </w:p>
        </w:tc>
        <w:tc>
          <w:tcPr>
            <w:tcW w:type="dxa" w:w="1728"/>
          </w:tcPr>
          <w:p>
            <w:r>
              <w:rPr>
                <w:rFonts w:ascii="Calibri" w:hAnsi="Calibri"/>
                <w:sz w:val="22"/>
              </w:rPr>
              <w:t>Unchanged; management confident "CATs aside"</w:t>
            </w:r>
          </w:p>
        </w:tc>
      </w:tr>
      <w:tr>
        <w:tc>
          <w:tcPr>
            <w:tcW w:type="dxa" w:w="1728"/>
          </w:tcPr>
          <w:p>
            <w:r>
              <w:rPr>
                <w:rFonts w:ascii="Calibri" w:hAnsi="Calibri"/>
                <w:sz w:val="22"/>
              </w:rPr>
              <w:t>Large-Account / Shared &amp; Layered Property</w:t>
            </w:r>
          </w:p>
        </w:tc>
        <w:tc>
          <w:tcPr>
            <w:tcW w:type="dxa" w:w="1728"/>
          </w:tcPr>
          <w:p>
            <w:r>
              <w:rPr>
                <w:rFonts w:ascii="Calibri" w:hAnsi="Calibri"/>
                <w:sz w:val="22"/>
              </w:rPr>
              <w:t>Deliberate shrinkage; non-renewed substantial % of shared/layered property; purchased additional reinsurance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Tone: sharply critical of market pricing ("dumb"); strategy unchanged — discipline over volume</w:t>
            </w:r>
          </w:p>
        </w:tc>
      </w:tr>
      <w:tr>
        <w:tc>
          <w:tcPr>
            <w:tcW w:type="dxa" w:w="1728"/>
          </w:tcPr>
          <w:p>
            <w:r>
              <w:rPr>
                <w:rFonts w:ascii="Calibri" w:hAnsi="Calibri"/>
                <w:sz w:val="22"/>
              </w:rPr>
              <w:t>Life Insurance Premium Growth</w:t>
            </w:r>
          </w:p>
        </w:tc>
        <w:tc>
          <w:tcPr>
            <w:tcW w:type="dxa" w:w="1728"/>
          </w:tcPr>
          <w:p>
            <w:r>
              <w:rPr>
                <w:rFonts w:ascii="Calibri" w:hAnsi="Calibri"/>
                <w:sz w:val="22"/>
              </w:rPr>
              <w:t>Single-premium Asia growth not expected to continue; shift to regular premium / risk-based products</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Moderating from Q1's 33% surge; mix shift expected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core operating EPS have been broadly stable since the Q1 print (+0.8% from the post-earnings baseline), while FY2026 EPS has drifted modestly higher (+1.2%), suggesting the Street is incrementally more constructive but not aggressively revising. The combined ratio estimate has also ticked slightly lower (better), consistent with the company's track record of outperformance.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Core Operating EPS — Q2 2026</w:t>
            </w:r>
          </w:p>
        </w:tc>
        <w:tc>
          <w:tcPr>
            <w:tcW w:type="dxa" w:w="1080"/>
          </w:tcPr>
          <w:p>
            <w:r>
              <w:rPr>
                <w:rFonts w:ascii="Calibri" w:hAnsi="Calibri"/>
                <w:sz w:val="22"/>
              </w:rPr>
              <w:t>$6.69</w:t>
            </w:r>
          </w:p>
        </w:tc>
        <w:tc>
          <w:tcPr>
            <w:tcW w:type="dxa" w:w="1080"/>
          </w:tcPr>
          <w:p>
            <w:r>
              <w:rPr>
                <w:rFonts w:ascii="Calibri" w:hAnsi="Calibri"/>
                <w:sz w:val="22"/>
              </w:rPr>
              <w:t>$6.74</w:t>
            </w:r>
          </w:p>
        </w:tc>
        <w:tc>
          <w:tcPr>
            <w:tcW w:type="dxa" w:w="1080"/>
          </w:tcPr>
          <w:p>
            <w:r>
              <w:rPr>
                <w:rFonts w:ascii="Calibri" w:hAnsi="Calibri"/>
                <w:sz w:val="22"/>
              </w:rPr>
              <w:t>+0.8%</w:t>
            </w:r>
          </w:p>
        </w:tc>
        <w:tc>
          <w:tcPr>
            <w:tcW w:type="dxa" w:w="1080"/>
          </w:tcPr>
          <w:p>
            <w:r>
              <w:rPr>
                <w:rFonts w:ascii="Calibri" w:hAnsi="Calibri"/>
                <w:sz w:val="22"/>
              </w:rPr>
              <w:t>No explicit Q2 EPS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Operating EPS — FY2026</w:t>
            </w:r>
          </w:p>
        </w:tc>
        <w:tc>
          <w:tcPr>
            <w:tcW w:type="dxa" w:w="1080"/>
          </w:tcPr>
          <w:p>
            <w:r>
              <w:rPr>
                <w:rFonts w:ascii="Calibri" w:hAnsi="Calibri"/>
                <w:sz w:val="22"/>
              </w:rPr>
              <w:t>~$26.88</w:t>
            </w:r>
          </w:p>
        </w:tc>
        <w:tc>
          <w:tcPr>
            <w:tcW w:type="dxa" w:w="1080"/>
          </w:tcPr>
          <w:p>
            <w:r>
              <w:rPr>
                <w:rFonts w:ascii="Calibri" w:hAnsi="Calibri"/>
                <w:sz w:val="22"/>
              </w:rPr>
              <w:t>~$27.20</w:t>
            </w:r>
          </w:p>
        </w:tc>
        <w:tc>
          <w:tcPr>
            <w:tcW w:type="dxa" w:w="1080"/>
          </w:tcPr>
          <w:p>
            <w:r>
              <w:rPr>
                <w:rFonts w:ascii="Calibri" w:hAnsi="Calibri"/>
                <w:sz w:val="22"/>
              </w:rPr>
              <w:t>+1.2%</w:t>
            </w:r>
          </w:p>
        </w:tc>
        <w:tc>
          <w:tcPr>
            <w:tcW w:type="dxa" w:w="1080"/>
          </w:tcPr>
          <w:p>
            <w:r>
              <w:rPr>
                <w:rFonts w:ascii="Calibri" w:hAnsi="Calibri"/>
                <w:sz w:val="22"/>
              </w:rPr>
              <w:t>"Double-digit growth" (qualitative)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Tracking guidance</w:t>
            </w:r>
          </w:p>
        </w:tc>
      </w:tr>
      <w:tr>
        <w:tc>
          <w:tcPr>
            <w:tcW w:type="dxa" w:w="1080"/>
          </w:tcPr>
          <w:p>
            <w:r>
              <w:rPr>
                <w:rFonts w:ascii="Calibri" w:hAnsi="Calibri"/>
                <w:sz w:val="22"/>
              </w:rPr>
              <w:t>P&amp;C Combined Ratio — Q2 2026</w:t>
            </w:r>
          </w:p>
        </w:tc>
        <w:tc>
          <w:tcPr>
            <w:tcW w:type="dxa" w:w="1080"/>
          </w:tcPr>
          <w:p>
            <w:r>
              <w:rPr>
                <w:rFonts w:ascii="Calibri" w:hAnsi="Calibri"/>
                <w:sz w:val="22"/>
              </w:rPr>
              <w:t>~86.0%</w:t>
            </w:r>
          </w:p>
        </w:tc>
        <w:tc>
          <w:tcPr>
            <w:tcW w:type="dxa" w:w="1080"/>
          </w:tcPr>
          <w:p>
            <w:r>
              <w:rPr>
                <w:rFonts w:ascii="Calibri" w:hAnsi="Calibri"/>
                <w:sz w:val="22"/>
              </w:rPr>
              <w:t>~85.8%</w:t>
            </w:r>
          </w:p>
        </w:tc>
        <w:tc>
          <w:tcPr>
            <w:tcW w:type="dxa" w:w="1080"/>
          </w:tcPr>
          <w:p>
            <w:r>
              <w:rPr>
                <w:rFonts w:ascii="Calibri" w:hAnsi="Calibri"/>
                <w:sz w:val="22"/>
              </w:rPr>
              <w:t>−0.2 pts</w:t>
            </w:r>
          </w:p>
        </w:tc>
        <w:tc>
          <w:tcPr>
            <w:tcW w:type="dxa" w:w="1080"/>
          </w:tcPr>
          <w:p>
            <w:r>
              <w:rPr>
                <w:rFonts w:ascii="Calibri" w:hAnsi="Calibri"/>
                <w:sz w:val="22"/>
              </w:rPr>
              <w:t>No explicit Q2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P&amp;C Net Premiums Written — Q2 2026</w:t>
            </w:r>
          </w:p>
        </w:tc>
        <w:tc>
          <w:tcPr>
            <w:tcW w:type="dxa" w:w="1080"/>
          </w:tcPr>
          <w:p>
            <w:r>
              <w:rPr>
                <w:rFonts w:ascii="Calibri" w:hAnsi="Calibri"/>
                <w:sz w:val="22"/>
              </w:rPr>
              <w:t>$13.00B</w:t>
            </w:r>
          </w:p>
        </w:tc>
        <w:tc>
          <w:tcPr>
            <w:tcW w:type="dxa" w:w="1080"/>
          </w:tcPr>
          <w:p>
            <w:r>
              <w:rPr>
                <w:rFonts w:ascii="Calibri" w:hAnsi="Calibri"/>
                <w:sz w:val="22"/>
              </w:rPr>
              <w:t>$12.97B</w:t>
            </w:r>
          </w:p>
        </w:tc>
        <w:tc>
          <w:tcPr>
            <w:tcW w:type="dxa" w:w="1080"/>
          </w:tcPr>
          <w:p>
            <w:r>
              <w:rPr>
                <w:rFonts w:ascii="Calibri" w:hAnsi="Calibri"/>
                <w:sz w:val="22"/>
              </w:rPr>
              <w:t>−0.2%</w:t>
            </w:r>
          </w:p>
        </w:tc>
        <w:tc>
          <w:tcPr>
            <w:tcW w:type="dxa" w:w="1080"/>
          </w:tcPr>
          <w:p>
            <w:r>
              <w:rPr>
                <w:rFonts w:ascii="Calibri" w:hAnsi="Calibri"/>
                <w:sz w:val="22"/>
              </w:rPr>
              <w:t>No explicit Q2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NII (P&amp;C) — Q2 2026</w:t>
            </w:r>
          </w:p>
        </w:tc>
        <w:tc>
          <w:tcPr>
            <w:tcW w:type="dxa" w:w="1080"/>
          </w:tcPr>
          <w:p>
            <w:r>
              <w:rPr>
                <w:rFonts w:ascii="Calibri" w:hAnsi="Calibri"/>
                <w:sz w:val="22"/>
              </w:rPr>
              <w:t>$1.540B</w:t>
            </w:r>
          </w:p>
        </w:tc>
        <w:tc>
          <w:tcPr>
            <w:tcW w:type="dxa" w:w="1080"/>
          </w:tcPr>
          <w:p>
            <w:r>
              <w:rPr>
                <w:rFonts w:ascii="Calibri" w:hAnsi="Calibri"/>
                <w:sz w:val="22"/>
              </w:rPr>
              <w:t>$1.536B</w:t>
            </w:r>
          </w:p>
        </w:tc>
        <w:tc>
          <w:tcPr>
            <w:tcW w:type="dxa" w:w="1080"/>
          </w:tcPr>
          <w:p>
            <w:r>
              <w:rPr>
                <w:rFonts w:ascii="Calibri" w:hAnsi="Calibri"/>
                <w:sz w:val="22"/>
              </w:rPr>
              <w:t>−0.3%</w:t>
            </w:r>
          </w:p>
        </w:tc>
        <w:tc>
          <w:tcPr>
            <w:tcW w:type="dxa" w:w="1080"/>
          </w:tcPr>
          <w:p>
            <w:r>
              <w:rPr>
                <w:rFonts w:ascii="Calibri" w:hAnsi="Calibri"/>
                <w:sz w:val="22"/>
              </w:rPr>
              <w:t>$1.825–$1.85B (total co.)</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Within range</w:t>
            </w:r>
          </w:p>
        </w:tc>
      </w:tr>
    </w:tbl>
    <w:p>
      <w:r>
        <w:rPr>
          <w:rFonts w:ascii="Calibri" w:hAnsi="Calibri"/>
          <w:i/>
          <w:color w:val="525866"/>
          <w:sz w:val="22"/>
        </w:rPr>
        <w:t>Source: Visible Alpha Consensus and Actuals Data. Post-earnings baseline (Apr 28, 2026) represents consensus as of 5 trading days after the Q1 2026 print. Estimate Δ reflects the revision from that baseline to current. The modest upward drift in EPS estimates and slight improvement in combined ratio expectations are consistent with Chubb's track record of conservative guidance and consistent outperformance.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CB has underperformed the insurance sector ETF (KIE) since Q1 earnings (+7.0% vs. KIE +9.8%), with the gap driven by the sector's broader re-rating on strong industry results (TRV, WRB) rather than CB-specific multiple compression. The stock's performance has been driven by a combination of multiple expansion and modest estimate revisions, with the NTM P/E expanding from ~11.7x to ~12.5x over the past year.</w:t>
      </w:r>
    </w:p>
    <w:p>
      <w:r>
        <w:rPr>
          <w:rFonts w:ascii="Calibri" w:hAnsi="Calibri"/>
          <w:b/>
          <w:color w:val="525866"/>
          <w:sz w:val="22"/>
        </w:rPr>
        <w:t>Chart: CB vs. KIE vs. SPY — Indexed to 100 at Q1 2026 Earnings Date (April 21,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CB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21,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 2026</w:t>
            </w:r>
          </w:p>
        </w:tc>
        <w:tc>
          <w:tcPr>
            <w:tcW w:type="dxa" w:w="2160"/>
          </w:tcPr>
          <w:p>
            <w:r>
              <w:rPr>
                <w:rFonts w:ascii="Calibri" w:hAnsi="Calibri"/>
                <w:sz w:val="22"/>
              </w:rPr>
              <w:t>99.1</w:t>
            </w:r>
          </w:p>
        </w:tc>
        <w:tc>
          <w:tcPr>
            <w:tcW w:type="dxa" w:w="2160"/>
          </w:tcPr>
          <w:p>
            <w:r>
              <w:rPr>
                <w:rFonts w:ascii="Calibri" w:hAnsi="Calibri"/>
                <w:sz w:val="22"/>
              </w:rPr>
              <w:t>97.3</w:t>
            </w:r>
          </w:p>
        </w:tc>
        <w:tc>
          <w:tcPr>
            <w:tcW w:type="dxa" w:w="2160"/>
          </w:tcPr>
          <w:p>
            <w:r>
              <w:rPr>
                <w:rFonts w:ascii="Calibri" w:hAnsi="Calibri"/>
                <w:sz w:val="22"/>
              </w:rPr>
              <w:t>102.4</w:t>
            </w:r>
          </w:p>
        </w:tc>
      </w:tr>
      <w:tr>
        <w:tc>
          <w:tcPr>
            <w:tcW w:type="dxa" w:w="2160"/>
          </w:tcPr>
          <w:p>
            <w:r>
              <w:rPr>
                <w:rFonts w:ascii="Calibri" w:hAnsi="Calibri"/>
                <w:sz w:val="22"/>
              </w:rPr>
              <w:t>May 29, 2026</w:t>
            </w:r>
          </w:p>
        </w:tc>
        <w:tc>
          <w:tcPr>
            <w:tcW w:type="dxa" w:w="2160"/>
          </w:tcPr>
          <w:p>
            <w:r>
              <w:rPr>
                <w:rFonts w:ascii="Calibri" w:hAnsi="Calibri"/>
                <w:sz w:val="22"/>
              </w:rPr>
              <w:t>94.7</w:t>
            </w:r>
          </w:p>
        </w:tc>
        <w:tc>
          <w:tcPr>
            <w:tcW w:type="dxa" w:w="2160"/>
          </w:tcPr>
          <w:p>
            <w:r>
              <w:rPr>
                <w:rFonts w:ascii="Calibri" w:hAnsi="Calibri"/>
                <w:sz w:val="22"/>
              </w:rPr>
              <w:t>94.5</w:t>
            </w:r>
          </w:p>
        </w:tc>
        <w:tc>
          <w:tcPr>
            <w:tcW w:type="dxa" w:w="2160"/>
          </w:tcPr>
          <w:p>
            <w:r>
              <w:rPr>
                <w:rFonts w:ascii="Calibri" w:hAnsi="Calibri"/>
                <w:sz w:val="22"/>
              </w:rPr>
              <w:t>107.5</w:t>
            </w:r>
          </w:p>
        </w:tc>
      </w:tr>
      <w:tr>
        <w:tc>
          <w:tcPr>
            <w:tcW w:type="dxa" w:w="2160"/>
          </w:tcPr>
          <w:p>
            <w:r>
              <w:rPr>
                <w:rFonts w:ascii="Calibri" w:hAnsi="Calibri"/>
                <w:sz w:val="22"/>
              </w:rPr>
              <w:t>Jun 5, 2026 (Sector rally)</w:t>
            </w:r>
          </w:p>
        </w:tc>
        <w:tc>
          <w:tcPr>
            <w:tcW w:type="dxa" w:w="2160"/>
          </w:tcPr>
          <w:p>
            <w:r>
              <w:rPr>
                <w:rFonts w:ascii="Calibri" w:hAnsi="Calibri"/>
                <w:sz w:val="22"/>
              </w:rPr>
              <w:t>99.1</w:t>
            </w:r>
          </w:p>
        </w:tc>
        <w:tc>
          <w:tcPr>
            <w:tcW w:type="dxa" w:w="2160"/>
          </w:tcPr>
          <w:p>
            <w:r>
              <w:rPr>
                <w:rFonts w:ascii="Calibri" w:hAnsi="Calibri"/>
                <w:sz w:val="22"/>
              </w:rPr>
              <w:t>97.5</w:t>
            </w:r>
          </w:p>
        </w:tc>
        <w:tc>
          <w:tcPr>
            <w:tcW w:type="dxa" w:w="2160"/>
          </w:tcPr>
          <w:p>
            <w:r>
              <w:rPr>
                <w:rFonts w:ascii="Calibri" w:hAnsi="Calibri"/>
                <w:sz w:val="22"/>
              </w:rPr>
              <w:t>104.8</w:t>
            </w:r>
          </w:p>
        </w:tc>
      </w:tr>
      <w:tr>
        <w:tc>
          <w:tcPr>
            <w:tcW w:type="dxa" w:w="2160"/>
          </w:tcPr>
          <w:p>
            <w:r>
              <w:rPr>
                <w:rFonts w:ascii="Calibri" w:hAnsi="Calibri"/>
                <w:sz w:val="22"/>
              </w:rPr>
              <w:t>Jun 26, 2026</w:t>
            </w:r>
          </w:p>
        </w:tc>
        <w:tc>
          <w:tcPr>
            <w:tcW w:type="dxa" w:w="2160"/>
          </w:tcPr>
          <w:p>
            <w:r>
              <w:rPr>
                <w:rFonts w:ascii="Calibri" w:hAnsi="Calibri"/>
                <w:sz w:val="22"/>
              </w:rPr>
              <w:t>103.7</w:t>
            </w:r>
          </w:p>
        </w:tc>
        <w:tc>
          <w:tcPr>
            <w:tcW w:type="dxa" w:w="2160"/>
          </w:tcPr>
          <w:p>
            <w:r>
              <w:rPr>
                <w:rFonts w:ascii="Calibri" w:hAnsi="Calibri"/>
                <w:sz w:val="22"/>
              </w:rPr>
              <w:t>104.6</w:t>
            </w:r>
          </w:p>
        </w:tc>
        <w:tc>
          <w:tcPr>
            <w:tcW w:type="dxa" w:w="2160"/>
          </w:tcPr>
          <w:p>
            <w:r>
              <w:rPr>
                <w:rFonts w:ascii="Calibri" w:hAnsi="Calibri"/>
                <w:sz w:val="22"/>
              </w:rPr>
              <w:t>103.5</w:t>
            </w:r>
          </w:p>
        </w:tc>
      </w:tr>
      <w:tr>
        <w:tc>
          <w:tcPr>
            <w:tcW w:type="dxa" w:w="2160"/>
          </w:tcPr>
          <w:p>
            <w:r>
              <w:rPr>
                <w:rFonts w:ascii="Calibri" w:hAnsi="Calibri"/>
                <w:sz w:val="22"/>
              </w:rPr>
              <w:t>Jul 2, 2026</w:t>
            </w:r>
          </w:p>
        </w:tc>
        <w:tc>
          <w:tcPr>
            <w:tcW w:type="dxa" w:w="2160"/>
          </w:tcPr>
          <w:p>
            <w:r>
              <w:rPr>
                <w:rFonts w:ascii="Calibri" w:hAnsi="Calibri"/>
                <w:sz w:val="22"/>
              </w:rPr>
              <w:t>109.7</w:t>
            </w:r>
          </w:p>
        </w:tc>
        <w:tc>
          <w:tcPr>
            <w:tcW w:type="dxa" w:w="2160"/>
          </w:tcPr>
          <w:p>
            <w:r>
              <w:rPr>
                <w:rFonts w:ascii="Calibri" w:hAnsi="Calibri"/>
                <w:sz w:val="22"/>
              </w:rPr>
              <w:t>109.8</w:t>
            </w:r>
          </w:p>
        </w:tc>
        <w:tc>
          <w:tcPr>
            <w:tcW w:type="dxa" w:w="2160"/>
          </w:tcPr>
          <w:p>
            <w:r>
              <w:rPr>
                <w:rFonts w:ascii="Calibri" w:hAnsi="Calibri"/>
                <w:sz w:val="22"/>
              </w:rPr>
              <w:t>105.8</w:t>
            </w:r>
          </w:p>
        </w:tc>
      </w:tr>
      <w:tr>
        <w:tc>
          <w:tcPr>
            <w:tcW w:type="dxa" w:w="2160"/>
          </w:tcPr>
          <w:p>
            <w:r>
              <w:rPr>
                <w:rFonts w:ascii="Calibri" w:hAnsi="Calibri"/>
                <w:sz w:val="22"/>
              </w:rPr>
              <w:t>Jul 17, 2026 (TRV earnings)</w:t>
            </w:r>
          </w:p>
        </w:tc>
        <w:tc>
          <w:tcPr>
            <w:tcW w:type="dxa" w:w="2160"/>
          </w:tcPr>
          <w:p>
            <w:r>
              <w:rPr>
                <w:rFonts w:ascii="Calibri" w:hAnsi="Calibri"/>
                <w:sz w:val="22"/>
              </w:rPr>
              <w:t>107.0</w:t>
            </w:r>
          </w:p>
        </w:tc>
        <w:tc>
          <w:tcPr>
            <w:tcW w:type="dxa" w:w="2160"/>
          </w:tcPr>
          <w:p>
            <w:r>
              <w:rPr>
                <w:rFonts w:ascii="Calibri" w:hAnsi="Calibri"/>
                <w:sz w:val="22"/>
              </w:rPr>
              <w:t>109.9</w:t>
            </w:r>
          </w:p>
        </w:tc>
        <w:tc>
          <w:tcPr>
            <w:tcW w:type="dxa" w:w="2160"/>
          </w:tcPr>
          <w:p>
            <w:r>
              <w:rPr>
                <w:rFonts w:ascii="Calibri" w:hAnsi="Calibri"/>
                <w:sz w:val="22"/>
              </w:rPr>
              <w:t>105.6</w:t>
            </w:r>
          </w:p>
        </w:tc>
      </w:tr>
      <w:tr>
        <w:tc>
          <w:tcPr>
            <w:tcW w:type="dxa" w:w="2160"/>
          </w:tcPr>
          <w:p>
            <w:r>
              <w:rPr>
                <w:rFonts w:ascii="Calibri" w:hAnsi="Calibri"/>
                <w:sz w:val="22"/>
              </w:rPr>
              <w:t>Jul 21, 2026 (Latest)</w:t>
            </w:r>
          </w:p>
        </w:tc>
        <w:tc>
          <w:tcPr>
            <w:tcW w:type="dxa" w:w="2160"/>
          </w:tcPr>
          <w:p>
            <w:r>
              <w:rPr>
                <w:rFonts w:ascii="Calibri" w:hAnsi="Calibri"/>
                <w:sz w:val="22"/>
              </w:rPr>
              <w:t>107.1</w:t>
            </w:r>
          </w:p>
        </w:tc>
        <w:tc>
          <w:tcPr>
            <w:tcW w:type="dxa" w:w="2160"/>
          </w:tcPr>
          <w:p>
            <w:r>
              <w:rPr>
                <w:rFonts w:ascii="Calibri" w:hAnsi="Calibri"/>
                <w:sz w:val="22"/>
              </w:rPr>
              <w:t>109.8</w:t>
            </w:r>
          </w:p>
        </w:tc>
        <w:tc>
          <w:tcPr>
            <w:tcW w:type="dxa" w:w="2160"/>
          </w:tcPr>
          <w:p>
            <w:r>
              <w:rPr>
                <w:rFonts w:ascii="Calibri" w:hAnsi="Calibri"/>
                <w:sz w:val="22"/>
              </w:rPr>
              <w:t>105.4</w:t>
            </w:r>
          </w:p>
        </w:tc>
      </w:tr>
    </w:tbl>
    <w:p>
      <w:r>
        <w:rPr>
          <w:rFonts w:ascii="Calibri" w:hAnsi="Calibri"/>
          <w:b/>
          <w:color w:val="525866"/>
          <w:sz w:val="22"/>
        </w:rPr>
        <w:t xml:space="preserve">Note: </w:t>
      </w:r>
      <w:r>
        <w:rPr>
          <w:rFonts w:ascii="Calibri" w:hAnsi="Calibri"/>
          <w:i/>
          <w:color w:val="525866"/>
          <w:sz w:val="22"/>
        </w:rPr>
        <w:t>KIE = SPDR S&amp;P Insurance ETF (the most appropriate sub-sector ETF for CB's P&amp;C insurance business). Indexed to 100 at April 21, 2026 (Q1 2026 earnings date). Source: Stock Price Data (Yahoo Finance).</w:t>
      </w:r>
    </w:p>
    <w:p>
      <w:r>
        <w:rPr>
          <w:rFonts w:ascii="Calibri" w:hAnsi="Calibri"/>
          <w:b/>
          <w:color w:val="525866"/>
          <w:sz w:val="22"/>
        </w:rPr>
        <w:t xml:space="preserve">Performance Decomposition: </w:t>
      </w:r>
      <w:r>
        <w:rPr>
          <w:rFonts w:ascii="Calibri" w:hAnsi="Calibri"/>
          <w:i/>
          <w:color w:val="525866"/>
          <w:sz w:val="22"/>
        </w:rPr>
        <w:t>Over the past 12 months, CB's +28% total return has been driven roughly equally by multiple expansion (+16.7% on EV/Sales) and earnings growth. Over the past 6 months, the +17% return reflects ~12% multiple expansion and ~5% earnings growth. The stock's recent underperformance vs. KIE since Q1 earnings (+7.0% vs. +9.8%) reflects the sector's broader re-rating on strong Q2 peer results (TRV +2.3% on earnings day; WRB beat), while CB awaits its own print. Source: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accelerating softening in commercial property pricing, confirmed by multiple peers (TRV, WRB, PGR) reporting Q2 results — this validates Chubb's Q1 decision to shrink large-account property exposure and purchase additional reinsurance, and sets up a favorable narrative for management's disciplined approach.</w:t>
      </w:r>
    </w:p>
    <w:p>
      <w:pPr>
        <w:pStyle w:val="ListBullet"/>
        <w:ind w:left="360" w:hanging="360"/>
      </w:pPr>
      <w:r>
        <w:rPr>
          <w:rFonts w:ascii="Calibri" w:hAnsi="Calibri"/>
          <w:b/>
          <w:color w:val="525866"/>
          <w:sz w:val="22"/>
        </w:rPr>
        <w:t>July 17, 2026 — Travelers (TRV) Q2 2026 Earnings Beat:</w:t>
      </w:r>
      <w:r>
        <w:rPr>
          <w:rFonts w:ascii="Calibri" w:hAnsi="Calibri"/>
          <w:color w:val="525866"/>
          <w:sz w:val="22"/>
        </w:rPr>
        <w:t xml:space="preserve"> TRV reported core EPS of $10.04 vs. $5.41 consensus, with a combined ratio of 83.6% and NWP of $11.53B. Critically, TRV confirmed continued softening in national/large-account property pricing while middle market and casualty pricing remained constructive. Morgan Stanley downgraded TRV to Underweight post-print, citing deteriorating industry fundamentals — a potential read-through for sector sentiment heading into CB's print.</w:t>
      </w:r>
    </w:p>
    <w:p>
      <w:pPr>
        <w:pStyle w:val="ListBullet"/>
        <w:ind w:left="360" w:hanging="360"/>
      </w:pPr>
      <w:r>
        <w:rPr>
          <w:rFonts w:ascii="Calibri" w:hAnsi="Calibri"/>
          <w:b/>
          <w:color w:val="525866"/>
          <w:sz w:val="22"/>
        </w:rPr>
        <w:t>July 20, 2026 — W.R. Berkley (WRB) Q2 2026 Earnings Beat:</w:t>
      </w:r>
      <w:r>
        <w:rPr>
          <w:rFonts w:ascii="Calibri" w:hAnsi="Calibri"/>
          <w:color w:val="525866"/>
          <w:sz w:val="22"/>
        </w:rPr>
        <w:t xml:space="preserve"> WRB reported EPS of $1.27 vs. $1.08 consensus, with record NII of $419M and a combined ratio of 90%. CEO Rob Berkley echoed Chubb's Q1 commentary, describing shared/layered property pricing as the area of "greatest stupidity" and warning that property market conditions will "get tougher before it gets easier." Positive read-through for CB's disciplined underwriting posture.</w:t>
      </w:r>
    </w:p>
    <w:p>
      <w:pPr>
        <w:pStyle w:val="ListBullet"/>
        <w:ind w:left="360" w:hanging="360"/>
      </w:pPr>
      <w:r>
        <w:rPr>
          <w:rFonts w:ascii="Calibri" w:hAnsi="Calibri"/>
          <w:b/>
          <w:color w:val="525866"/>
          <w:sz w:val="22"/>
        </w:rPr>
        <w:t>July 16, 2026 — Allstate (ALL) Q2 2026 Catastrophe Disclosure:</w:t>
      </w:r>
      <w:r>
        <w:rPr>
          <w:rFonts w:ascii="Calibri" w:hAnsi="Calibri"/>
          <w:color w:val="525866"/>
          <w:sz w:val="22"/>
        </w:rPr>
        <w:t xml:space="preserve"> ALL disclosed Q2 2026 total catastrophe losses of $1.72B ($1.36B after-tax), with June alone contributing $563M. This is the most important negative read-through for CB's Q2 combined ratio — elevated industry cat activity suggests Chubb's cat load could exceed Q1's $500M pre-tax.</w:t>
      </w:r>
    </w:p>
    <w:p>
      <w:pPr>
        <w:pStyle w:val="ListBullet"/>
        <w:ind w:left="360" w:hanging="360"/>
      </w:pPr>
      <w:r>
        <w:rPr>
          <w:rFonts w:ascii="Calibri" w:hAnsi="Calibri"/>
          <w:b/>
          <w:color w:val="525866"/>
          <w:sz w:val="22"/>
        </w:rPr>
        <w:t>July 15, 2026 — Progressive (PGR) Q2 2026 Results:</w:t>
      </w:r>
      <w:r>
        <w:rPr>
          <w:rFonts w:ascii="Calibri" w:hAnsi="Calibri"/>
          <w:color w:val="525866"/>
          <w:sz w:val="22"/>
        </w:rPr>
        <w:t xml:space="preserve"> PGR reported Q2 NWP of $21.1B (+5% YoY) and a combined ratio of 87.3%. Personal Lines Property cat loss ratio of 8.9% in June signals elevated weather activity. Positive read-through on premium growth and investment income trends.</w:t>
      </w:r>
    </w:p>
    <w:p>
      <w:pPr>
        <w:pStyle w:val="ListBullet"/>
        <w:ind w:left="360" w:hanging="360"/>
      </w:pPr>
      <w:r>
        <w:rPr>
          <w:rFonts w:ascii="Calibri" w:hAnsi="Calibri"/>
          <w:b/>
          <w:color w:val="525866"/>
          <w:sz w:val="22"/>
        </w:rPr>
        <w:t>July 14, 2026 — Allstate CFO Appointment:</w:t>
      </w:r>
      <w:r>
        <w:rPr>
          <w:rFonts w:ascii="Calibri" w:hAnsi="Calibri"/>
          <w:color w:val="525866"/>
          <w:sz w:val="22"/>
        </w:rPr>
        <w:t xml:space="preserve"> ALL named Christian M. Lown as new CFO effective August 2026. Not directly relevant to CB but signals ongoing leadership transitions across the sector.</w:t>
      </w:r>
    </w:p>
    <w:p>
      <w:pPr>
        <w:pStyle w:val="ListBullet"/>
        <w:ind w:left="360" w:hanging="360"/>
      </w:pPr>
      <w:r>
        <w:rPr>
          <w:rFonts w:ascii="Calibri" w:hAnsi="Calibri"/>
          <w:b/>
          <w:color w:val="525866"/>
          <w:sz w:val="22"/>
        </w:rPr>
        <w:t>June 30, 2026 — CB Q2 Earnings Call Announcement:</w:t>
      </w:r>
      <w:r>
        <w:rPr>
          <w:rFonts w:ascii="Calibri" w:hAnsi="Calibri"/>
          <w:color w:val="525866"/>
          <w:sz w:val="22"/>
        </w:rPr>
        <w:t xml:space="preserve"> Chubb confirmed Q2 2026 earnings call for July 22, 2026 at 8:30 AM ET.</w:t>
      </w:r>
    </w:p>
    <w:p>
      <w:pPr>
        <w:pStyle w:val="ListBullet"/>
        <w:ind w:left="360" w:hanging="360"/>
      </w:pPr>
      <w:r>
        <w:rPr>
          <w:rFonts w:ascii="Calibri" w:hAnsi="Calibri"/>
          <w:b/>
          <w:color w:val="525866"/>
          <w:sz w:val="22"/>
        </w:rPr>
        <w:t>April 22, 2026 — Q1 2026 Earnings Call — Key Forward Signals:</w:t>
      </w:r>
      <w:r>
        <w:rPr>
          <w:rFonts w:ascii="Calibri" w:hAnsi="Calibri"/>
          <w:color w:val="525866"/>
          <w:sz w:val="22"/>
        </w:rPr>
        <w:t xml:space="preserve"> Management guided Q2 adjusted NII of $1.825–$1.85B; reiterated FY2026 double-digit EPS and TBV growth confidence; flagged Middle East conflict as a potential inflationary risk; described large-account property pricing as "dumb" with market rates off 25–30% in shared/layered programs; announced deliberate shrinkage of large-account property exposure and purchase of additional reinsurance.</w:t>
      </w:r>
    </w:p>
    <w:p>
      <w:r>
        <w:br w:type="page"/>
      </w:r>
    </w:p>
    <w:p>
      <w:pPr>
        <w:pStyle w:val="Heading2"/>
      </w:pPr>
      <w:r>
        <w:rPr>
          <w:rFonts w:ascii="Calibri" w:hAnsi="Calibri"/>
          <w:b/>
          <w:color w:val="3B4259"/>
          <w:sz w:val="28"/>
        </w:rPr>
        <w:t>7. Peer Commentary &amp; Current-Quarter Read-Throughs (Q2 2026)</w:t>
      </w:r>
    </w:p>
    <w:p>
      <w:r>
        <w:rPr>
          <w:rFonts w:ascii="Calibri" w:hAnsi="Calibri"/>
          <w:b/>
          <w:color w:val="525866"/>
          <w:sz w:val="22"/>
        </w:rPr>
        <w:t xml:space="preserve">Key Takeaway: </w:t>
      </w:r>
      <w:r>
        <w:rPr>
          <w:rFonts w:ascii="Calibri" w:hAnsi="Calibri"/>
          <w:color w:val="525866"/>
          <w:sz w:val="22"/>
        </w:rPr>
        <w:t>Peer Q2 2026 results and commentary are broadly constructive for Chubb: catastrophe losses were elevated but manageable (TRV ~$400M after-tax, WRB $62M), casualty pricing remains disciplined, investment income is growing strongly, and middle market property terms are holding. The primary negative read-through is elevated industry cat activity (ALL $1.72B Q2 cats) and accelerating large-account property pricing deterioration — both of which Chubb partially insulated itself from via its Q1 exposure management actions.</w:t>
      </w:r>
    </w:p>
    <w:p>
      <w:r>
        <w:rPr>
          <w:rFonts w:ascii="Calibri" w:hAnsi="Calibri"/>
          <w:b/>
          <w:color w:val="525866"/>
          <w:sz w:val="22"/>
        </w:rPr>
        <w:t xml:space="preserve">Note: </w:t>
      </w:r>
      <w:r>
        <w:rPr>
          <w:rFonts w:ascii="Calibri" w:hAnsi="Calibri"/>
          <w:i/>
          <w:color w:val="525866"/>
          <w:sz w:val="22"/>
        </w:rPr>
        <w:t>Only commentary from peers' Q2 2026 earnings releases, Q2 2026 earnings calls, or post-Q1 earnings disclosures that explicitly address Q2 2026 conditions is included below. Prior-quarter results commentary has been excluded.</w:t>
      </w:r>
    </w:p>
    <w:p>
      <w:pPr>
        <w:pStyle w:val="Heading3"/>
      </w:pPr>
      <w:r>
        <w:rPr>
          <w:rFonts w:ascii="Calibri" w:hAnsi="Calibri"/>
          <w:b/>
          <w:color w:val="3B4259"/>
          <w:sz w:val="24"/>
        </w:rPr>
        <w:t>Travelers (TRV) — Q2 2026 Earnings Call (July 17,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TRV Commentary / Data</w:t>
            </w:r>
          </w:p>
        </w:tc>
        <w:tc>
          <w:tcPr>
            <w:tcW w:type="dxa" w:w="2880"/>
            <w:shd w:val="clear" w:color="auto" w:fill="3B4259"/>
          </w:tcPr>
          <w:p>
            <w:r>
              <w:rPr>
                <w:rFonts w:ascii="Calibri" w:hAnsi="Calibri"/>
                <w:b/>
                <w:color w:val="FFFFFF"/>
                <w:sz w:val="22"/>
              </w:rPr>
              <w:t>Read-Through for CB</w:t>
            </w:r>
          </w:p>
        </w:tc>
      </w:tr>
      <w:tr>
        <w:tc>
          <w:tcPr>
            <w:tcW w:type="dxa" w:w="2880"/>
          </w:tcPr>
          <w:p>
            <w:r>
              <w:rPr>
                <w:rFonts w:ascii="Calibri" w:hAnsi="Calibri"/>
                <w:sz w:val="22"/>
              </w:rPr>
              <w:t>Catastrophe Losses</w:t>
            </w:r>
          </w:p>
        </w:tc>
        <w:tc>
          <w:tcPr>
            <w:tcW w:type="dxa" w:w="2880"/>
          </w:tcPr>
          <w:p>
            <w:r>
              <w:rPr>
                <w:rFonts w:ascii="Calibri" w:hAnsi="Calibri"/>
                <w:sz w:val="22"/>
              </w:rPr>
              <w:t>After-tax cat losses of ~$400M in Q2 2026; personal insurance combined ratio of 76.7% reflecting "modest catastrophe losses." CEO Schnitzer: capabilities "position us to handle the prospect of continued weather volatility."</w:t>
            </w:r>
          </w:p>
        </w:tc>
        <w:tc>
          <w:tcPr>
            <w:tcW w:type="dxa" w:w="2880"/>
          </w:tcPr>
          <w:p>
            <w:r>
              <w:rPr>
                <w:rFonts w:ascii="Calibri" w:hAnsi="Calibri"/>
                <w:b/>
                <w:sz w:val="22"/>
              </w:rPr>
              <w:t>Mixed.</w:t>
            </w:r>
            <w:r>
              <w:rPr>
                <w:rFonts w:ascii="Calibri" w:hAnsi="Calibri"/>
                <w:sz w:val="22"/>
              </w:rPr>
              <w:t xml:space="preserve"> Moderate cat activity — elevated vs. Q1 but manageable. Suggests CB's Q2 cat load will be above Q1's $500M pre-tax but not catastrophic.</w:t>
            </w:r>
          </w:p>
        </w:tc>
      </w:tr>
      <w:tr>
        <w:tc>
          <w:tcPr>
            <w:tcW w:type="dxa" w:w="2880"/>
          </w:tcPr>
          <w:p>
            <w:r>
              <w:rPr>
                <w:rFonts w:ascii="Calibri" w:hAnsi="Calibri"/>
                <w:sz w:val="22"/>
              </w:rPr>
              <w:t>Commercial Property Pricing</w:t>
            </w:r>
          </w:p>
        </w:tc>
        <w:tc>
          <w:tcPr>
            <w:tcW w:type="dxa" w:w="2880"/>
          </w:tcPr>
          <w:p>
            <w:r>
              <w:rPr>
                <w:rFonts w:ascii="Calibri" w:hAnsi="Calibri"/>
                <w:sz w:val="22"/>
              </w:rPr>
              <w:t>National property premium declined; RPC ex-property was 7.8% and "about flat sequentially." Middle market property: "not really seeing a material shift in terms and conditions" but "a little bit of softening" vs. national property. Overall pricing environment (ex-property) described as "very stable."</w:t>
            </w:r>
          </w:p>
        </w:tc>
        <w:tc>
          <w:tcPr>
            <w:tcW w:type="dxa" w:w="2880"/>
          </w:tcPr>
          <w:p>
            <w:r>
              <w:rPr>
                <w:rFonts w:ascii="Calibri" w:hAnsi="Calibri"/>
                <w:b/>
                <w:sz w:val="22"/>
              </w:rPr>
              <w:t>Mixed.</w:t>
            </w:r>
            <w:r>
              <w:rPr>
                <w:rFonts w:ascii="Calibri" w:hAnsi="Calibri"/>
                <w:sz w:val="22"/>
              </w:rPr>
              <w:t xml:space="preserve"> Confirms CB's Q1 narrative: large-account property is soft, middle market is holding. Validates CB's decision to shrink large-account exposure.</w:t>
            </w:r>
          </w:p>
        </w:tc>
      </w:tr>
      <w:tr>
        <w:tc>
          <w:tcPr>
            <w:tcW w:type="dxa" w:w="2880"/>
          </w:tcPr>
          <w:p>
            <w:r>
              <w:rPr>
                <w:rFonts w:ascii="Calibri" w:hAnsi="Calibri"/>
                <w:sz w:val="22"/>
              </w:rPr>
              <w:t>Casualty / Loss Trends</w:t>
            </w:r>
          </w:p>
        </w:tc>
        <w:tc>
          <w:tcPr>
            <w:tcW w:type="dxa" w:w="2880"/>
          </w:tcPr>
          <w:p>
            <w:r>
              <w:rPr>
                <w:rFonts w:ascii="Calibri" w:hAnsi="Calibri"/>
                <w:sz w:val="22"/>
              </w:rPr>
              <w:t>"No pressure" in casualty lines including umbrella and commercial auto. Workers' comp favorable in both frequency and severity. CFO Frye: "a little bit of an improved view of the loss environment overall" in Business Insurance, contributing to ~0.5pt improvement in underlying loss ratio.</w:t>
            </w:r>
          </w:p>
        </w:tc>
        <w:tc>
          <w:tcPr>
            <w:tcW w:type="dxa" w:w="2880"/>
          </w:tcPr>
          <w:p>
            <w:r>
              <w:rPr>
                <w:rFonts w:ascii="Calibri" w:hAnsi="Calibri"/>
                <w:b/>
                <w:sz w:val="22"/>
              </w:rPr>
              <w:t>Positive.</w:t>
            </w:r>
            <w:r>
              <w:rPr>
                <w:rFonts w:ascii="Calibri" w:hAnsi="Calibri"/>
                <w:sz w:val="22"/>
              </w:rPr>
              <w:t xml:space="preserve"> Benign casualty loss environment is a tailwind for CB's casualty book, which has been growing at constructive pricing.</w:t>
            </w:r>
          </w:p>
        </w:tc>
      </w:tr>
      <w:tr>
        <w:tc>
          <w:tcPr>
            <w:tcW w:type="dxa" w:w="2880"/>
          </w:tcPr>
          <w:p>
            <w:r>
              <w:rPr>
                <w:rFonts w:ascii="Calibri" w:hAnsi="Calibri"/>
                <w:sz w:val="22"/>
              </w:rPr>
              <w:t>Underwriting Margins</w:t>
            </w:r>
          </w:p>
        </w:tc>
        <w:tc>
          <w:tcPr>
            <w:tcW w:type="dxa" w:w="2880"/>
          </w:tcPr>
          <w:p>
            <w:r>
              <w:rPr>
                <w:rFonts w:ascii="Calibri" w:hAnsi="Calibri"/>
                <w:sz w:val="22"/>
              </w:rPr>
              <w:t>Overall combined ratio 83.6%; underlying 84.1%. Business Insurance underlying combined ratio of 88.2% (record). Personal Insurance combined ratio 79.5% (underlying 77.3%). Eighth consecutive quarter of &gt;$1B after-tax underlying underwriting income.</w:t>
            </w:r>
          </w:p>
        </w:tc>
        <w:tc>
          <w:tcPr>
            <w:tcW w:type="dxa" w:w="2880"/>
          </w:tcPr>
          <w:p>
            <w:r>
              <w:rPr>
                <w:rFonts w:ascii="Calibri" w:hAnsi="Calibri"/>
                <w:b/>
                <w:sz w:val="22"/>
              </w:rPr>
              <w:t>Positive.</w:t>
            </w:r>
            <w:r>
              <w:rPr>
                <w:rFonts w:ascii="Calibri" w:hAnsi="Calibri"/>
                <w:sz w:val="22"/>
              </w:rPr>
              <w:t xml:space="preserve"> Industry-wide underwriting margins remain excellent, supporting CB's own margin sustainability narrative.</w:t>
            </w:r>
          </w:p>
        </w:tc>
      </w:tr>
      <w:tr>
        <w:tc>
          <w:tcPr>
            <w:tcW w:type="dxa" w:w="2880"/>
          </w:tcPr>
          <w:p>
            <w:r>
              <w:rPr>
                <w:rFonts w:ascii="Calibri" w:hAnsi="Calibri"/>
                <w:sz w:val="22"/>
              </w:rPr>
              <w:t>Premium Growth</w:t>
            </w:r>
          </w:p>
        </w:tc>
        <w:tc>
          <w:tcPr>
            <w:tcW w:type="dxa" w:w="2880"/>
          </w:tcPr>
          <w:p>
            <w:r>
              <w:rPr>
                <w:rFonts w:ascii="Calibri" w:hAnsi="Calibri"/>
                <w:sz w:val="22"/>
              </w:rPr>
              <w:t>Total NWP $11.5B; Business Insurance +5% (ex-Canada); Bond &amp; Specialty +14% (record); Surety +40% (data center construction demand). New business in Business Insurance a record $805M, +8% YoY.</w:t>
            </w:r>
          </w:p>
        </w:tc>
        <w:tc>
          <w:tcPr>
            <w:tcW w:type="dxa" w:w="2880"/>
          </w:tcPr>
          <w:p>
            <w:r>
              <w:rPr>
                <w:rFonts w:ascii="Calibri" w:hAnsi="Calibri"/>
                <w:b/>
                <w:sz w:val="22"/>
              </w:rPr>
              <w:t>Positive.</w:t>
            </w:r>
            <w:r>
              <w:rPr>
                <w:rFonts w:ascii="Calibri" w:hAnsi="Calibri"/>
                <w:sz w:val="22"/>
              </w:rPr>
              <w:t xml:space="preserve"> Strong premium growth across commercial lines, particularly specialty/surety, is a positive read for CB's commercial and specialty segments.</w:t>
            </w:r>
          </w:p>
        </w:tc>
      </w:tr>
      <w:tr>
        <w:tc>
          <w:tcPr>
            <w:tcW w:type="dxa" w:w="2880"/>
          </w:tcPr>
          <w:p>
            <w:r>
              <w:rPr>
                <w:rFonts w:ascii="Calibri" w:hAnsi="Calibri"/>
                <w:sz w:val="22"/>
              </w:rPr>
              <w:t>Investment Income</w:t>
            </w:r>
          </w:p>
        </w:tc>
        <w:tc>
          <w:tcPr>
            <w:tcW w:type="dxa" w:w="2880"/>
          </w:tcPr>
          <w:p>
            <w:r>
              <w:rPr>
                <w:rFonts w:ascii="Calibri" w:hAnsi="Calibri"/>
                <w:sz w:val="22"/>
              </w:rPr>
              <w:t>After-tax NII +14% to $883M; new money yields ~90bps above embedded portfolio yield; fixed income NII expected to continue growing beyond 2026.</w:t>
            </w:r>
          </w:p>
        </w:tc>
        <w:tc>
          <w:tcPr>
            <w:tcW w:type="dxa" w:w="2880"/>
          </w:tcPr>
          <w:p>
            <w:r>
              <w:rPr>
                <w:rFonts w:ascii="Calibri" w:hAnsi="Calibri"/>
                <w:b/>
                <w:sz w:val="22"/>
              </w:rPr>
              <w:t>Positive.</w:t>
            </w:r>
            <w:r>
              <w:rPr>
                <w:rFonts w:ascii="Calibri" w:hAnsi="Calibri"/>
                <w:sz w:val="22"/>
              </w:rPr>
              <w:t xml:space="preserve"> Confirms favorable NII tailwind environment; CB's $170B+ invested asset base should generate similar or better NII growth trajectory.</w:t>
            </w:r>
          </w:p>
        </w:tc>
      </w:tr>
    </w:tbl>
    <w:p>
      <w:pPr>
        <w:pStyle w:val="Heading3"/>
      </w:pPr>
      <w:r>
        <w:rPr>
          <w:rFonts w:ascii="Calibri" w:hAnsi="Calibri"/>
          <w:b/>
          <w:color w:val="3B4259"/>
          <w:sz w:val="24"/>
        </w:rPr>
        <w:t>W.R. Berkley (WRB) — Q2 2026 Earnings Call (July 20,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WRB Commentary / Data</w:t>
            </w:r>
          </w:p>
        </w:tc>
        <w:tc>
          <w:tcPr>
            <w:tcW w:type="dxa" w:w="2880"/>
            <w:shd w:val="clear" w:color="auto" w:fill="3B4259"/>
          </w:tcPr>
          <w:p>
            <w:r>
              <w:rPr>
                <w:rFonts w:ascii="Calibri" w:hAnsi="Calibri"/>
                <w:b/>
                <w:color w:val="FFFFFF"/>
                <w:sz w:val="22"/>
              </w:rPr>
              <w:t>Read-Through for CB</w:t>
            </w:r>
          </w:p>
        </w:tc>
      </w:tr>
      <w:tr>
        <w:tc>
          <w:tcPr>
            <w:tcW w:type="dxa" w:w="2880"/>
          </w:tcPr>
          <w:p>
            <w:r>
              <w:rPr>
                <w:rFonts w:ascii="Calibri" w:hAnsi="Calibri"/>
                <w:sz w:val="22"/>
              </w:rPr>
              <w:t>Property Market Conditions</w:t>
            </w:r>
          </w:p>
        </w:tc>
        <w:tc>
          <w:tcPr>
            <w:tcW w:type="dxa" w:w="2880"/>
          </w:tcPr>
          <w:p>
            <w:r>
              <w:rPr>
                <w:rFonts w:ascii="Calibri" w:hAnsi="Calibri"/>
                <w:sz w:val="22"/>
              </w:rPr>
              <w:t>CEO Rob Berkley: "The greatest stupidity can be found most easily in the property arena. Shared and layered... is particularly concerning. And we're seeing that water falling through to other parts of the property market." Property reinsurance "eroding rapidly." Warning: "It is going to get tougher before it gets easier." Mother Nature is "lulling the property market into a false sense of comfort."</w:t>
            </w:r>
          </w:p>
        </w:tc>
        <w:tc>
          <w:tcPr>
            <w:tcW w:type="dxa" w:w="2880"/>
          </w:tcPr>
          <w:p>
            <w:r>
              <w:rPr>
                <w:rFonts w:ascii="Calibri" w:hAnsi="Calibri"/>
                <w:b/>
                <w:sz w:val="22"/>
              </w:rPr>
              <w:t>Negative (for property-heavy peers).</w:t>
            </w:r>
            <w:r>
              <w:rPr>
                <w:rFonts w:ascii="Calibri" w:hAnsi="Calibri"/>
                <w:sz w:val="22"/>
              </w:rPr>
              <w:t xml:space="preserve"> Validates CB's Q1 decision to shrink large-account property. CB's proactive exposure management should be viewed favorably by the market.</w:t>
            </w:r>
          </w:p>
        </w:tc>
      </w:tr>
      <w:tr>
        <w:tc>
          <w:tcPr>
            <w:tcW w:type="dxa" w:w="2880"/>
          </w:tcPr>
          <w:p>
            <w:r>
              <w:rPr>
                <w:rFonts w:ascii="Calibri" w:hAnsi="Calibri"/>
                <w:sz w:val="22"/>
              </w:rPr>
              <w:t>Casualty Market</w:t>
            </w:r>
          </w:p>
        </w:tc>
        <w:tc>
          <w:tcPr>
            <w:tcW w:type="dxa" w:w="2880"/>
          </w:tcPr>
          <w:p>
            <w:r>
              <w:rPr>
                <w:rFonts w:ascii="Calibri" w:hAnsi="Calibri"/>
                <w:sz w:val="22"/>
              </w:rPr>
              <w:t>"The casualty market by and large is offering greater discipline... the broader casualty market overall remains attractive." Isolated pockets of concern: habitational and liquor (rates cut 20–30%). Commercial auto: "rate is up a lot and the exposure is coming down pretty quickly."</w:t>
            </w:r>
          </w:p>
        </w:tc>
        <w:tc>
          <w:tcPr>
            <w:tcW w:type="dxa" w:w="2880"/>
          </w:tcPr>
          <w:p>
            <w:r>
              <w:rPr>
                <w:rFonts w:ascii="Calibri" w:hAnsi="Calibri"/>
                <w:b/>
                <w:sz w:val="22"/>
              </w:rPr>
              <w:t>Positive.</w:t>
            </w:r>
            <w:r>
              <w:rPr>
                <w:rFonts w:ascii="Calibri" w:hAnsi="Calibri"/>
                <w:sz w:val="22"/>
              </w:rPr>
              <w:t xml:space="preserve"> Broad casualty market discipline is a tailwind for CB's casualty pricing, which was up 9.6% in North America in Q1.</w:t>
            </w:r>
          </w:p>
        </w:tc>
      </w:tr>
      <w:tr>
        <w:tc>
          <w:tcPr>
            <w:tcW w:type="dxa" w:w="2880"/>
          </w:tcPr>
          <w:p>
            <w:r>
              <w:rPr>
                <w:rFonts w:ascii="Calibri" w:hAnsi="Calibri"/>
                <w:sz w:val="22"/>
              </w:rPr>
              <w:t>Catastrophe Losses</w:t>
            </w:r>
          </w:p>
        </w:tc>
        <w:tc>
          <w:tcPr>
            <w:tcW w:type="dxa" w:w="2880"/>
          </w:tcPr>
          <w:p>
            <w:r>
              <w:rPr>
                <w:rFonts w:ascii="Calibri" w:hAnsi="Calibri"/>
                <w:sz w:val="22"/>
              </w:rPr>
              <w:t>Q2 2026 cat losses of $62M (2.0 loss ratio pts), down $37M from prior year. CEO: "relatively benign cat quarter given the time of year." But cautioned: "Mother Nature is lulling the property market into a false sense of comfort."</w:t>
            </w:r>
          </w:p>
        </w:tc>
        <w:tc>
          <w:tcPr>
            <w:tcW w:type="dxa" w:w="2880"/>
          </w:tcPr>
          <w:p>
            <w:r>
              <w:rPr>
                <w:rFonts w:ascii="Calibri" w:hAnsi="Calibri"/>
                <w:b/>
                <w:sz w:val="22"/>
              </w:rPr>
              <w:t>Mixed.</w:t>
            </w:r>
            <w:r>
              <w:rPr>
                <w:rFonts w:ascii="Calibri" w:hAnsi="Calibri"/>
                <w:sz w:val="22"/>
              </w:rPr>
              <w:t xml:space="preserve"> WRB's low cat load is partly a function of its smaller property book. Industry-wide cat activity (per ALL) was more elevated.</w:t>
            </w:r>
          </w:p>
        </w:tc>
      </w:tr>
      <w:tr>
        <w:tc>
          <w:tcPr>
            <w:tcW w:type="dxa" w:w="2880"/>
          </w:tcPr>
          <w:p>
            <w:r>
              <w:rPr>
                <w:rFonts w:ascii="Calibri" w:hAnsi="Calibri"/>
                <w:sz w:val="22"/>
              </w:rPr>
              <w:t>Investment Income</w:t>
            </w:r>
          </w:p>
        </w:tc>
        <w:tc>
          <w:tcPr>
            <w:tcW w:type="dxa" w:w="2880"/>
          </w:tcPr>
          <w:p>
            <w:r>
              <w:rPr>
                <w:rFonts w:ascii="Calibri" w:hAnsi="Calibri"/>
                <w:sz w:val="22"/>
              </w:rPr>
              <w:t>Record quarterly pre-tax NII of $419M; core portfolio income +13% YoY to $371M. New money rate "comfortably starts with a five" vs. domestic book yield of 4.8%. Operating cash flow $800M (up from $700M prior year).</w:t>
            </w:r>
          </w:p>
        </w:tc>
        <w:tc>
          <w:tcPr>
            <w:tcW w:type="dxa" w:w="2880"/>
          </w:tcPr>
          <w:p>
            <w:r>
              <w:rPr>
                <w:rFonts w:ascii="Calibri" w:hAnsi="Calibri"/>
                <w:b/>
                <w:sz w:val="22"/>
              </w:rPr>
              <w:t>Positive.</w:t>
            </w:r>
            <w:r>
              <w:rPr>
                <w:rFonts w:ascii="Calibri" w:hAnsi="Calibri"/>
                <w:sz w:val="22"/>
              </w:rPr>
              <w:t xml:space="preserve"> Confirms favorable NII environment. CB's much larger invested asset base ($170B+) amplifies this tailwind.</w:t>
            </w:r>
          </w:p>
        </w:tc>
      </w:tr>
      <w:tr>
        <w:tc>
          <w:tcPr>
            <w:tcW w:type="dxa" w:w="2880"/>
          </w:tcPr>
          <w:p>
            <w:r>
              <w:rPr>
                <w:rFonts w:ascii="Calibri" w:hAnsi="Calibri"/>
                <w:sz w:val="22"/>
              </w:rPr>
              <w:t>Social Inflation / Reserving</w:t>
            </w:r>
          </w:p>
        </w:tc>
        <w:tc>
          <w:tcPr>
            <w:tcW w:type="dxa" w:w="2880"/>
          </w:tcPr>
          <w:p>
            <w:r>
              <w:rPr>
                <w:rFonts w:ascii="Calibri" w:hAnsi="Calibri"/>
                <w:sz w:val="22"/>
              </w:rPr>
              <w:t>Social inflation "has gotten the attention of many, including policymakers." Some state-level actions taken. But: "not fully enough that we are taking credit for it" in loss picks. California workers' comp accident year running at 129 — "I don't know how a marketplace can make that 129 work."</w:t>
            </w:r>
          </w:p>
        </w:tc>
        <w:tc>
          <w:tcPr>
            <w:tcW w:type="dxa" w:w="2880"/>
          </w:tcPr>
          <w:p>
            <w:r>
              <w:rPr>
                <w:rFonts w:ascii="Calibri" w:hAnsi="Calibri"/>
                <w:b/>
                <w:sz w:val="22"/>
              </w:rPr>
              <w:t>Cautious.</w:t>
            </w:r>
            <w:r>
              <w:rPr>
                <w:rFonts w:ascii="Calibri" w:hAnsi="Calibri"/>
                <w:sz w:val="22"/>
              </w:rPr>
              <w:t xml:space="preserve"> Social inflation remains an unquantified tail risk. CB's casualty reserve adequacy will be a key focus on the Q2 call.</w:t>
            </w:r>
          </w:p>
        </w:tc>
      </w:tr>
      <w:tr>
        <w:tc>
          <w:tcPr>
            <w:tcW w:type="dxa" w:w="2880"/>
          </w:tcPr>
          <w:p>
            <w:r>
              <w:rPr>
                <w:rFonts w:ascii="Calibri" w:hAnsi="Calibri"/>
                <w:sz w:val="22"/>
              </w:rPr>
              <w:t>AI / Technology</w:t>
            </w:r>
          </w:p>
        </w:tc>
        <w:tc>
          <w:tcPr>
            <w:tcW w:type="dxa" w:w="2880"/>
          </w:tcPr>
          <w:p>
            <w:r>
              <w:rPr>
                <w:rFonts w:ascii="Calibri" w:hAnsi="Calibri"/>
                <w:sz w:val="22"/>
              </w:rPr>
              <w:t>20%+ efficiency uplift from AI-powered underwriting workbenches; straight-through claims processing for ~50% of claims ($5K or less). "We are making good progress" and expect to "reallocate people's time" and drive further improvements.</w:t>
            </w:r>
          </w:p>
        </w:tc>
        <w:tc>
          <w:tcPr>
            <w:tcW w:type="dxa" w:w="2880"/>
          </w:tcPr>
          <w:p>
            <w:r>
              <w:rPr>
                <w:rFonts w:ascii="Calibri" w:hAnsi="Calibri"/>
                <w:b/>
                <w:sz w:val="22"/>
              </w:rPr>
              <w:t>Positive.</w:t>
            </w:r>
            <w:r>
              <w:rPr>
                <w:rFonts w:ascii="Calibri" w:hAnsi="Calibri"/>
                <w:sz w:val="22"/>
              </w:rPr>
              <w:t xml:space="preserve"> Consistent with CB's own AI/digital transformation narrative; validates the sector-wide efficiency opportunity.</w:t>
            </w:r>
          </w:p>
        </w:tc>
      </w:tr>
    </w:tbl>
    <w:p>
      <w:pPr>
        <w:pStyle w:val="Heading3"/>
      </w:pPr>
      <w:r>
        <w:rPr>
          <w:rFonts w:ascii="Calibri" w:hAnsi="Calibri"/>
          <w:b/>
          <w:color w:val="3B4259"/>
          <w:sz w:val="24"/>
        </w:rPr>
        <w:t>Allstate (ALL) — Q2 2026 Catastrophe Disclosure (July 16,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ALL Data / Commentary</w:t>
            </w:r>
          </w:p>
        </w:tc>
        <w:tc>
          <w:tcPr>
            <w:tcW w:type="dxa" w:w="2880"/>
            <w:shd w:val="clear" w:color="auto" w:fill="3B4259"/>
          </w:tcPr>
          <w:p>
            <w:r>
              <w:rPr>
                <w:rFonts w:ascii="Calibri" w:hAnsi="Calibri"/>
                <w:b/>
                <w:color w:val="FFFFFF"/>
                <w:sz w:val="22"/>
              </w:rPr>
              <w:t>Read-Through for CB</w:t>
            </w:r>
          </w:p>
        </w:tc>
      </w:tr>
      <w:tr>
        <w:tc>
          <w:tcPr>
            <w:tcW w:type="dxa" w:w="2880"/>
          </w:tcPr>
          <w:p>
            <w:r>
              <w:rPr>
                <w:rFonts w:ascii="Calibri" w:hAnsi="Calibri"/>
                <w:sz w:val="22"/>
              </w:rPr>
              <w:t>Q2 2026 Catastrophe Losses</w:t>
            </w:r>
          </w:p>
        </w:tc>
        <w:tc>
          <w:tcPr>
            <w:tcW w:type="dxa" w:w="2880"/>
          </w:tcPr>
          <w:p>
            <w:r>
              <w:rPr>
                <w:rFonts w:ascii="Calibri" w:hAnsi="Calibri"/>
                <w:sz w:val="22"/>
              </w:rPr>
              <w:t>Total Q2 2026 catastrophe losses: $1.72B ($1.36B after-tax). June alone: $563M ($445M after-tax). Allstate is predominantly a personal lines insurer with significant homeowners exposure.</w:t>
            </w:r>
          </w:p>
        </w:tc>
        <w:tc>
          <w:tcPr>
            <w:tcW w:type="dxa" w:w="2880"/>
          </w:tcPr>
          <w:p>
            <w:r>
              <w:rPr>
                <w:rFonts w:ascii="Calibri" w:hAnsi="Calibri"/>
                <w:b/>
                <w:sz w:val="22"/>
              </w:rPr>
              <w:t>Negative.</w:t>
            </w:r>
            <w:r>
              <w:rPr>
                <w:rFonts w:ascii="Calibri" w:hAnsi="Calibri"/>
                <w:sz w:val="22"/>
              </w:rPr>
              <w:t xml:space="preserve"> Elevated industry cat activity in Q2 2026 — the most important negative read-through for CB's Q2 combined ratio. Suggests CB's cat load will be meaningfully above Q1's $500M pre-tax, though CB's deliberate property exposure reduction and additional reinsurance purchased in Q1 provide partial insulation.</w:t>
            </w:r>
          </w:p>
        </w:tc>
      </w:tr>
    </w:tbl>
    <w:p>
      <w:pPr>
        <w:pStyle w:val="Heading3"/>
      </w:pPr>
      <w:r>
        <w:rPr>
          <w:rFonts w:ascii="Calibri" w:hAnsi="Calibri"/>
          <w:b/>
          <w:color w:val="3B4259"/>
          <w:sz w:val="24"/>
        </w:rPr>
        <w:t>Progressive (PGR) — Q2 2026 Earnings Release (July 15,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PGR Data / Commentary</w:t>
            </w:r>
          </w:p>
        </w:tc>
        <w:tc>
          <w:tcPr>
            <w:tcW w:type="dxa" w:w="2880"/>
            <w:shd w:val="clear" w:color="auto" w:fill="3B4259"/>
          </w:tcPr>
          <w:p>
            <w:r>
              <w:rPr>
                <w:rFonts w:ascii="Calibri" w:hAnsi="Calibri"/>
                <w:b/>
                <w:color w:val="FFFFFF"/>
                <w:sz w:val="22"/>
              </w:rPr>
              <w:t>Read-Through for CB</w:t>
            </w:r>
          </w:p>
        </w:tc>
      </w:tr>
      <w:tr>
        <w:tc>
          <w:tcPr>
            <w:tcW w:type="dxa" w:w="2880"/>
          </w:tcPr>
          <w:p>
            <w:r>
              <w:rPr>
                <w:rFonts w:ascii="Calibri" w:hAnsi="Calibri"/>
                <w:sz w:val="22"/>
              </w:rPr>
              <w:t>Premium Growth</w:t>
            </w:r>
          </w:p>
        </w:tc>
        <w:tc>
          <w:tcPr>
            <w:tcW w:type="dxa" w:w="2880"/>
          </w:tcPr>
          <w:p>
            <w:r>
              <w:rPr>
                <w:rFonts w:ascii="Calibri" w:hAnsi="Calibri"/>
                <w:sz w:val="22"/>
              </w:rPr>
              <w:t>Q2 2026 NWP of $21.1B, +5% YoY. Personal Lines policies in force +8% YoY. Commercial Lines NWP +1% in June. Property NWP +4%.</w:t>
            </w:r>
          </w:p>
        </w:tc>
        <w:tc>
          <w:tcPr>
            <w:tcW w:type="dxa" w:w="2880"/>
          </w:tcPr>
          <w:p>
            <w:r>
              <w:rPr>
                <w:rFonts w:ascii="Calibri" w:hAnsi="Calibri"/>
                <w:b/>
                <w:sz w:val="22"/>
              </w:rPr>
              <w:t>Positive.</w:t>
            </w:r>
            <w:r>
              <w:rPr>
                <w:rFonts w:ascii="Calibri" w:hAnsi="Calibri"/>
                <w:sz w:val="22"/>
              </w:rPr>
              <w:t xml:space="preserve"> Healthy market-wide premium growth supports CB's own top-line growth expectations.</w:t>
            </w:r>
          </w:p>
        </w:tc>
      </w:tr>
      <w:tr>
        <w:tc>
          <w:tcPr>
            <w:tcW w:type="dxa" w:w="2880"/>
          </w:tcPr>
          <w:p>
            <w:r>
              <w:rPr>
                <w:rFonts w:ascii="Calibri" w:hAnsi="Calibri"/>
                <w:sz w:val="22"/>
              </w:rPr>
              <w:t>Catastrophe / Weather</w:t>
            </w:r>
          </w:p>
        </w:tc>
        <w:tc>
          <w:tcPr>
            <w:tcW w:type="dxa" w:w="2880"/>
          </w:tcPr>
          <w:p>
            <w:r>
              <w:rPr>
                <w:rFonts w:ascii="Calibri" w:hAnsi="Calibri"/>
                <w:sz w:val="22"/>
              </w:rPr>
              <w:t>Companywide net cat loss ratio of 2.4% for June 2026. Personal Lines Property cat loss ratio of 8.9% for June (13.0% YTD). Elevated weather activity in personal property lines.</w:t>
            </w:r>
          </w:p>
        </w:tc>
        <w:tc>
          <w:tcPr>
            <w:tcW w:type="dxa" w:w="2880"/>
          </w:tcPr>
          <w:p>
            <w:r>
              <w:rPr>
                <w:rFonts w:ascii="Calibri" w:hAnsi="Calibri"/>
                <w:b/>
                <w:sz w:val="22"/>
              </w:rPr>
              <w:t>Negative.</w:t>
            </w:r>
            <w:r>
              <w:rPr>
                <w:rFonts w:ascii="Calibri" w:hAnsi="Calibri"/>
                <w:sz w:val="22"/>
              </w:rPr>
              <w:t xml:space="preserve"> Elevated personal property cat activity in June is a negative read for CB's high-net-worth personal lines and commercial property segments.</w:t>
            </w:r>
          </w:p>
        </w:tc>
      </w:tr>
      <w:tr>
        <w:tc>
          <w:tcPr>
            <w:tcW w:type="dxa" w:w="2880"/>
          </w:tcPr>
          <w:p>
            <w:r>
              <w:rPr>
                <w:rFonts w:ascii="Calibri" w:hAnsi="Calibri"/>
                <w:sz w:val="22"/>
              </w:rPr>
              <w:t>Investment Income</w:t>
            </w:r>
          </w:p>
        </w:tc>
        <w:tc>
          <w:tcPr>
            <w:tcW w:type="dxa" w:w="2880"/>
          </w:tcPr>
          <w:p>
            <w:r>
              <w:rPr>
                <w:rFonts w:ascii="Calibri" w:hAnsi="Calibri"/>
                <w:sz w:val="22"/>
              </w:rPr>
              <w:t>June 2026 investment income of $329M; pretax annualized book yield of 4.2%. Net unrealized losses on fixed-maturity securities of $(1.05B), declining $(152M) from prior month.</w:t>
            </w:r>
          </w:p>
        </w:tc>
        <w:tc>
          <w:tcPr>
            <w:tcW w:type="dxa" w:w="2880"/>
          </w:tcPr>
          <w:p>
            <w:r>
              <w:rPr>
                <w:rFonts w:ascii="Calibri" w:hAnsi="Calibri"/>
                <w:b/>
                <w:sz w:val="22"/>
              </w:rPr>
              <w:t>Mixed.</w:t>
            </w:r>
            <w:r>
              <w:rPr>
                <w:rFonts w:ascii="Calibri" w:hAnsi="Calibri"/>
                <w:sz w:val="22"/>
              </w:rPr>
              <w:t xml:space="preserve"> Stable book yield is positive; widening unrealized losses from rising rates/spreads could create modest headwinds for CB's AOCI.</w:t>
            </w:r>
          </w:p>
        </w:tc>
      </w:tr>
    </w:tbl>
    <w:p>
      <w:pPr>
        <w:pStyle w:val="Heading3"/>
      </w:pPr>
      <w:r>
        <w:rPr>
          <w:rFonts w:ascii="Calibri" w:hAnsi="Calibri"/>
          <w:b/>
          <w:color w:val="3B4259"/>
          <w:sz w:val="24"/>
        </w:rPr>
        <w:t>Summary Read-Through Scorecard</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Signal</w:t>
            </w:r>
          </w:p>
        </w:tc>
        <w:tc>
          <w:tcPr>
            <w:tcW w:type="dxa" w:w="2880"/>
            <w:shd w:val="clear" w:color="auto" w:fill="3B4259"/>
          </w:tcPr>
          <w:p>
            <w:r>
              <w:rPr>
                <w:rFonts w:ascii="Calibri" w:hAnsi="Calibri"/>
                <w:b/>
                <w:color w:val="FFFFFF"/>
                <w:sz w:val="22"/>
              </w:rPr>
              <w:t>Key Peer Source</w:t>
            </w:r>
          </w:p>
        </w:tc>
      </w:tr>
      <w:tr>
        <w:tc>
          <w:tcPr>
            <w:tcW w:type="dxa" w:w="2880"/>
          </w:tcPr>
          <w:p>
            <w:r>
              <w:rPr>
                <w:rFonts w:ascii="Calibri" w:hAnsi="Calibri"/>
                <w:sz w:val="22"/>
              </w:rPr>
              <w:t>Q2 Catastrophe Activity</w:t>
            </w:r>
          </w:p>
        </w:tc>
        <w:tc>
          <w:tcPr>
            <w:tcW w:type="dxa" w:w="2880"/>
          </w:tcPr>
          <w:p>
            <w:r>
              <w:rPr>
                <w:rFonts w:ascii="Calibri" w:hAnsi="Calibri"/>
                <w:b/>
                <w:color w:val="E5484D"/>
                <w:sz w:val="22"/>
              </w:rPr>
              <w:t>Negative</w:t>
            </w:r>
          </w:p>
        </w:tc>
        <w:tc>
          <w:tcPr>
            <w:tcW w:type="dxa" w:w="2880"/>
          </w:tcPr>
          <w:p>
            <w:r>
              <w:rPr>
                <w:rFonts w:ascii="Calibri" w:hAnsi="Calibri"/>
                <w:sz w:val="22"/>
              </w:rPr>
              <w:t>ALL ($1.72B Q2 cats); PGR (8.9% personal property cat ratio in June)</w:t>
            </w:r>
          </w:p>
        </w:tc>
      </w:tr>
      <w:tr>
        <w:tc>
          <w:tcPr>
            <w:tcW w:type="dxa" w:w="2880"/>
          </w:tcPr>
          <w:p>
            <w:r>
              <w:rPr>
                <w:rFonts w:ascii="Calibri" w:hAnsi="Calibri"/>
                <w:sz w:val="22"/>
              </w:rPr>
              <w:t>Large-Account Property Pricing</w:t>
            </w:r>
          </w:p>
        </w:tc>
        <w:tc>
          <w:tcPr>
            <w:tcW w:type="dxa" w:w="2880"/>
          </w:tcPr>
          <w:p>
            <w:r>
              <w:rPr>
                <w:rFonts w:ascii="Calibri" w:hAnsi="Calibri"/>
                <w:b/>
                <w:color w:val="E5484D"/>
                <w:sz w:val="22"/>
              </w:rPr>
              <w:t>Negative (but CB insulated)</w:t>
            </w:r>
          </w:p>
        </w:tc>
        <w:tc>
          <w:tcPr>
            <w:tcW w:type="dxa" w:w="2880"/>
          </w:tcPr>
          <w:p>
            <w:r>
              <w:rPr>
                <w:rFonts w:ascii="Calibri" w:hAnsi="Calibri"/>
                <w:sz w:val="22"/>
              </w:rPr>
              <w:t>TRV (national property declined); WRB ("greatest stupidity" in shared/layered)</w:t>
            </w:r>
          </w:p>
        </w:tc>
      </w:tr>
      <w:tr>
        <w:tc>
          <w:tcPr>
            <w:tcW w:type="dxa" w:w="2880"/>
          </w:tcPr>
          <w:p>
            <w:r>
              <w:rPr>
                <w:rFonts w:ascii="Calibri" w:hAnsi="Calibri"/>
                <w:sz w:val="22"/>
              </w:rPr>
              <w:t>Middle Market / Casualty Pricing</w:t>
            </w:r>
          </w:p>
        </w:tc>
        <w:tc>
          <w:tcPr>
            <w:tcW w:type="dxa" w:w="2880"/>
          </w:tcPr>
          <w:p>
            <w:r>
              <w:rPr>
                <w:rFonts w:ascii="Calibri" w:hAnsi="Calibri"/>
                <w:b/>
                <w:color w:val="30A46C"/>
                <w:sz w:val="22"/>
              </w:rPr>
              <w:t>Positive</w:t>
            </w:r>
          </w:p>
        </w:tc>
        <w:tc>
          <w:tcPr>
            <w:tcW w:type="dxa" w:w="2880"/>
          </w:tcPr>
          <w:p>
            <w:r>
              <w:rPr>
                <w:rFonts w:ascii="Calibri" w:hAnsi="Calibri"/>
                <w:sz w:val="22"/>
              </w:rPr>
              <w:t>TRV (casualty RPC 7.8%, stable; no pressure in umbrella/auto); WRB (casualty "remains attractive")</w:t>
            </w:r>
          </w:p>
        </w:tc>
      </w:tr>
      <w:tr>
        <w:tc>
          <w:tcPr>
            <w:tcW w:type="dxa" w:w="2880"/>
          </w:tcPr>
          <w:p>
            <w:r>
              <w:rPr>
                <w:rFonts w:ascii="Calibri" w:hAnsi="Calibri"/>
                <w:sz w:val="22"/>
              </w:rPr>
              <w:t>Underwriting Margins (Industry)</w:t>
            </w:r>
          </w:p>
        </w:tc>
        <w:tc>
          <w:tcPr>
            <w:tcW w:type="dxa" w:w="2880"/>
          </w:tcPr>
          <w:p>
            <w:r>
              <w:rPr>
                <w:rFonts w:ascii="Calibri" w:hAnsi="Calibri"/>
                <w:b/>
                <w:color w:val="30A46C"/>
                <w:sz w:val="22"/>
              </w:rPr>
              <w:t>Positive</w:t>
            </w:r>
          </w:p>
        </w:tc>
        <w:tc>
          <w:tcPr>
            <w:tcW w:type="dxa" w:w="2880"/>
          </w:tcPr>
          <w:p>
            <w:r>
              <w:rPr>
                <w:rFonts w:ascii="Calibri" w:hAnsi="Calibri"/>
                <w:sz w:val="22"/>
              </w:rPr>
              <w:t>TRV (combined ratio 83.6%); WRB (ex-cat combined ratio 88.1%)</w:t>
            </w:r>
          </w:p>
        </w:tc>
      </w:tr>
      <w:tr>
        <w:tc>
          <w:tcPr>
            <w:tcW w:type="dxa" w:w="2880"/>
          </w:tcPr>
          <w:p>
            <w:r>
              <w:rPr>
                <w:rFonts w:ascii="Calibri" w:hAnsi="Calibri"/>
                <w:sz w:val="22"/>
              </w:rPr>
              <w:t>Investment Income Environment</w:t>
            </w:r>
          </w:p>
        </w:tc>
        <w:tc>
          <w:tcPr>
            <w:tcW w:type="dxa" w:w="2880"/>
          </w:tcPr>
          <w:p>
            <w:r>
              <w:rPr>
                <w:rFonts w:ascii="Calibri" w:hAnsi="Calibri"/>
                <w:b/>
                <w:color w:val="30A46C"/>
                <w:sz w:val="22"/>
              </w:rPr>
              <w:t>Positive</w:t>
            </w:r>
          </w:p>
        </w:tc>
        <w:tc>
          <w:tcPr>
            <w:tcW w:type="dxa" w:w="2880"/>
          </w:tcPr>
          <w:p>
            <w:r>
              <w:rPr>
                <w:rFonts w:ascii="Calibri" w:hAnsi="Calibri"/>
                <w:sz w:val="22"/>
              </w:rPr>
              <w:t>TRV (NII +14%); WRB (record NII, new money rate &gt;5%)</w:t>
            </w:r>
          </w:p>
        </w:tc>
      </w:tr>
      <w:tr>
        <w:tc>
          <w:tcPr>
            <w:tcW w:type="dxa" w:w="2880"/>
          </w:tcPr>
          <w:p>
            <w:r>
              <w:rPr>
                <w:rFonts w:ascii="Calibri" w:hAnsi="Calibri"/>
                <w:sz w:val="22"/>
              </w:rPr>
              <w:t>Premium Growth (Industry)</w:t>
            </w:r>
          </w:p>
        </w:tc>
        <w:tc>
          <w:tcPr>
            <w:tcW w:type="dxa" w:w="2880"/>
          </w:tcPr>
          <w:p>
            <w:r>
              <w:rPr>
                <w:rFonts w:ascii="Calibri" w:hAnsi="Calibri"/>
                <w:b/>
                <w:color w:val="30A46C"/>
                <w:sz w:val="22"/>
              </w:rPr>
              <w:t>Positive</w:t>
            </w:r>
          </w:p>
        </w:tc>
        <w:tc>
          <w:tcPr>
            <w:tcW w:type="dxa" w:w="2880"/>
          </w:tcPr>
          <w:p>
            <w:r>
              <w:rPr>
                <w:rFonts w:ascii="Calibri" w:hAnsi="Calibri"/>
                <w:sz w:val="22"/>
              </w:rPr>
              <w:t>TRV (NWP +5% BI, +14% B&amp;S); PGR (NWP +5% Q2); WRB (Insurance NWP +3.7%)</w:t>
            </w:r>
          </w:p>
        </w:tc>
      </w:tr>
      <w:tr>
        <w:tc>
          <w:tcPr>
            <w:tcW w:type="dxa" w:w="2880"/>
          </w:tcPr>
          <w:p>
            <w:r>
              <w:rPr>
                <w:rFonts w:ascii="Calibri" w:hAnsi="Calibri"/>
                <w:sz w:val="22"/>
              </w:rPr>
              <w:t>Social Inflation / Casualty Reserves</w:t>
            </w:r>
          </w:p>
        </w:tc>
        <w:tc>
          <w:tcPr>
            <w:tcW w:type="dxa" w:w="2880"/>
          </w:tcPr>
          <w:p>
            <w:r>
              <w:rPr>
                <w:rFonts w:ascii="Calibri" w:hAnsi="Calibri"/>
                <w:b/>
                <w:color w:val="002FA7"/>
                <w:sz w:val="22"/>
              </w:rPr>
              <w:t>Cautious / Neutral</w:t>
            </w:r>
          </w:p>
        </w:tc>
        <w:tc>
          <w:tcPr>
            <w:tcW w:type="dxa" w:w="2880"/>
          </w:tcPr>
          <w:p>
            <w:r>
              <w:rPr>
                <w:rFonts w:ascii="Calibri" w:hAnsi="Calibri"/>
                <w:sz w:val="22"/>
              </w:rPr>
              <w:t>WRB (not taking credit for social inflation moderation); TRV (uncertainty provision maintained)</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minimal — only one open-market sale was identified (Ortega, EVP, June 8, 2026), which was a discretionary sale of a modest size relative to holdings. No open-market buys were identified. The absence of clustered buying or unusual selling is broadly neutral; no insider signal stands out as a meaningful directional indicator.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Juan Luis Ortega</w:t>
            </w:r>
          </w:p>
        </w:tc>
        <w:tc>
          <w:tcPr>
            <w:tcW w:type="dxa" w:w="1440"/>
          </w:tcPr>
          <w:p>
            <w:r>
              <w:rPr>
                <w:rFonts w:ascii="Calibri" w:hAnsi="Calibri"/>
                <w:sz w:val="22"/>
              </w:rPr>
              <w:t>Executive Vice President</w:t>
            </w:r>
          </w:p>
        </w:tc>
        <w:tc>
          <w:tcPr>
            <w:tcW w:type="dxa" w:w="1440"/>
          </w:tcPr>
          <w:p>
            <w:r>
              <w:rPr>
                <w:rFonts w:ascii="Calibri" w:hAnsi="Calibri"/>
                <w:sz w:val="22"/>
              </w:rPr>
              <w:t>Open Market Sale</w:t>
            </w:r>
          </w:p>
        </w:tc>
        <w:tc>
          <w:tcPr>
            <w:tcW w:type="dxa" w:w="1440"/>
          </w:tcPr>
          <w:p>
            <w:r>
              <w:rPr>
                <w:rFonts w:ascii="Calibri" w:hAnsi="Calibri"/>
                <w:sz w:val="22"/>
              </w:rPr>
              <w:t>3,886 shares; ~$1.27M est.</w:t>
            </w:r>
          </w:p>
        </w:tc>
        <w:tc>
          <w:tcPr>
            <w:tcW w:type="dxa" w:w="1440"/>
          </w:tcPr>
          <w:p>
            <w:r>
              <w:rPr>
                <w:rFonts w:ascii="Calibri" w:hAnsi="Calibri"/>
                <w:sz w:val="22"/>
              </w:rPr>
              <w:t>June 8, 2026</w:t>
            </w:r>
          </w:p>
        </w:tc>
        <w:tc>
          <w:tcPr>
            <w:tcW w:type="dxa" w:w="1440"/>
          </w:tcPr>
          <w:p>
            <w:r>
              <w:rPr>
                <w:rFonts w:ascii="Calibri" w:hAnsi="Calibri"/>
                <w:sz w:val="22"/>
              </w:rPr>
              <w:t>Discretionary sale; 3,886 shares sold, 28,859 shares retained post-transaction (~87% of pre-sale position retained). Not on a disclosed 10b5-1 plan.</w:t>
            </w:r>
          </w:p>
        </w:tc>
      </w:tr>
    </w:tbl>
    <w:p>
      <w:r>
        <w:rPr>
          <w:rFonts w:ascii="Calibri" w:hAnsi="Calibri"/>
          <w:i/>
          <w:color w:val="525866"/>
          <w:sz w:val="22"/>
        </w:rPr>
        <w:t>Source: SEC Form 4 Filings Database. Window covers April 21, 2026 – July 20, 2026 (since Q1 2026 earnings). Only open-market transactions (Form 4 codes P/S) are included. No open-market purchases were identified during the period.</w:t>
      </w:r>
    </w:p>
    <w:p>
      <w:r>
        <w:br w:type="page"/>
      </w:r>
    </w:p>
    <w:p>
      <w:pPr>
        <w:pStyle w:val="Heading2"/>
      </w:pPr>
      <w:r>
        <w:rPr>
          <w:rFonts w:ascii="Calibri" w:hAnsi="Calibri"/>
          <w:b/>
          <w:color w:val="3B4259"/>
          <w:sz w:val="28"/>
        </w:rPr>
        <w:t>9. Key Risks &amp; Questions for Management</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Catastrophe Loss Severity (Primary Risk):</w:t>
      </w:r>
      <w:r>
        <w:rPr>
          <w:rFonts w:ascii="Calibri" w:hAnsi="Calibri"/>
          <w:color w:val="525866"/>
          <w:sz w:val="22"/>
        </w:rPr>
        <w:t xml:space="preserve"> Q2 2026 industry cat activity was elevated (ALL: $1.72B; TRV: ~$400M after-tax). If Chubb's cat load exceeds ~$700–800M pre-tax, the combined ratio could overshoot consensus (~85.8%) by 2–3 points, pressuring EPS by ~$0.30–0.50. Chubb's additional reinsurance purchased in Q1 provides partial protection.</w:t>
      </w:r>
    </w:p>
    <w:p>
      <w:pPr>
        <w:pStyle w:val="ListBullet"/>
        <w:ind w:left="360" w:hanging="360"/>
      </w:pPr>
      <w:r>
        <w:rPr>
          <w:rFonts w:ascii="Calibri" w:hAnsi="Calibri"/>
          <w:b/>
          <w:color w:val="525866"/>
          <w:sz w:val="22"/>
        </w:rPr>
        <w:t>Large-Account Property Exposure Drag:</w:t>
      </w:r>
      <w:r>
        <w:rPr>
          <w:rFonts w:ascii="Calibri" w:hAnsi="Calibri"/>
          <w:color w:val="525866"/>
          <w:sz w:val="22"/>
        </w:rPr>
        <w:t xml:space="preserve"> Deliberate shrinkage of shared/layered property (down 55% in Q1) will continue to weigh on North America commercial P&amp;C premium growth. The question is whether consumer and international segments can fully offset the headwind.</w:t>
      </w:r>
    </w:p>
    <w:p>
      <w:pPr>
        <w:pStyle w:val="ListBullet"/>
        <w:ind w:left="360" w:hanging="360"/>
      </w:pPr>
      <w:r>
        <w:rPr>
          <w:rFonts w:ascii="Calibri" w:hAnsi="Calibri"/>
          <w:b/>
          <w:color w:val="525866"/>
          <w:sz w:val="22"/>
        </w:rPr>
        <w:t>Life Insurance Premium Normalization:</w:t>
      </w:r>
      <w:r>
        <w:rPr>
          <w:rFonts w:ascii="Calibri" w:hAnsi="Calibri"/>
          <w:color w:val="525866"/>
          <w:sz w:val="22"/>
        </w:rPr>
        <w:t xml:space="preserve"> Q1 2026 Life NWP surged 33% driven by single-premium Asia business. Management explicitly guided this would not continue, implying a meaningful deceleration in Q2. If Life segment income disappoints, it could weigh on total company EPS.</w:t>
      </w:r>
    </w:p>
    <w:p>
      <w:pPr>
        <w:pStyle w:val="ListBullet"/>
        <w:ind w:left="360" w:hanging="360"/>
      </w:pPr>
      <w:r>
        <w:rPr>
          <w:rFonts w:ascii="Calibri" w:hAnsi="Calibri"/>
          <w:b/>
          <w:color w:val="525866"/>
          <w:sz w:val="22"/>
        </w:rPr>
        <w:t>Casualty Reserve Adequacy / Social Inflation:</w:t>
      </w:r>
      <w:r>
        <w:rPr>
          <w:rFonts w:ascii="Calibri" w:hAnsi="Calibri"/>
          <w:color w:val="525866"/>
          <w:sz w:val="22"/>
        </w:rPr>
        <w:t xml:space="preserve"> WRB flagged California workers' comp running at a 129 accident year and noted social inflation is not yet being credited in loss picks. Any adverse development in CB's long-tail casualty lines would be a significant negative surprise.</w:t>
      </w:r>
    </w:p>
    <w:p>
      <w:pPr>
        <w:pStyle w:val="ListBullet"/>
        <w:ind w:left="360" w:hanging="360"/>
      </w:pPr>
      <w:r>
        <w:rPr>
          <w:rFonts w:ascii="Calibri" w:hAnsi="Calibri"/>
          <w:b/>
          <w:color w:val="525866"/>
          <w:sz w:val="22"/>
        </w:rPr>
        <w:t>Investment Portfolio / AOCI:</w:t>
      </w:r>
      <w:r>
        <w:rPr>
          <w:rFonts w:ascii="Calibri" w:hAnsi="Calibri"/>
          <w:color w:val="525866"/>
          <w:sz w:val="22"/>
        </w:rPr>
        <w:t xml:space="preserve"> Rising interest rates and widening credit spreads created $1.6B of net unrealized losses in Q1. If rates rose further in Q2, AOCI could be a headwind to book value per share, though this does not affect core operating earnings.</w:t>
      </w:r>
    </w:p>
    <w:p>
      <w:pPr>
        <w:pStyle w:val="ListBullet"/>
        <w:ind w:left="360" w:hanging="360"/>
      </w:pPr>
      <w:r>
        <w:rPr>
          <w:rFonts w:ascii="Calibri" w:hAnsi="Calibri"/>
          <w:b/>
          <w:color w:val="525866"/>
          <w:sz w:val="22"/>
        </w:rPr>
        <w:t>Middle East Conflict / Macro Uncertainty:</w:t>
      </w:r>
      <w:r>
        <w:rPr>
          <w:rFonts w:ascii="Calibri" w:hAnsi="Calibri"/>
          <w:color w:val="525866"/>
          <w:sz w:val="22"/>
        </w:rPr>
        <w:t xml:space="preserve"> Management flagged the Middle East conflict as a potential source of inflationary pressure on supply chains, energy costs, and sovereign debt. A material escalation could affect loss cost trends and investment portfolio valuations.</w:t>
      </w:r>
    </w:p>
    <w:p>
      <w:pPr>
        <w:pStyle w:val="Heading3"/>
      </w:pPr>
      <w:r>
        <w:rPr>
          <w:rFonts w:ascii="Calibri" w:hAnsi="Calibri"/>
          <w:b/>
          <w:color w:val="3B4259"/>
          <w:sz w:val="24"/>
        </w:rPr>
        <w:t>Key Questions for Management</w:t>
      </w:r>
    </w:p>
    <w:p>
      <w:pPr>
        <w:pStyle w:val="ListNumber"/>
        <w:ind w:left="360" w:hanging="360"/>
      </w:pPr>
      <w:r>
        <w:rPr>
          <w:rFonts w:ascii="Calibri" w:hAnsi="Calibri"/>
          <w:b/>
          <w:color w:val="525866"/>
          <w:sz w:val="22"/>
        </w:rPr>
        <w:t>Catastrophe Losses:</w:t>
      </w:r>
      <w:r>
        <w:rPr>
          <w:rFonts w:ascii="Calibri" w:hAnsi="Calibri"/>
          <w:color w:val="525866"/>
          <w:sz w:val="22"/>
        </w:rPr>
        <w:t xml:space="preserve"> What were Q2 2026 pre-tax catastrophe losses, and how did the additional reinsurance purchased in Q1 affect the net cat load? Was the cat activity concentrated in any specific geography or peril?</w:t>
      </w:r>
    </w:p>
    <w:p>
      <w:pPr>
        <w:pStyle w:val="ListNumber"/>
        <w:ind w:left="360" w:hanging="360"/>
      </w:pPr>
      <w:r>
        <w:rPr>
          <w:rFonts w:ascii="Calibri" w:hAnsi="Calibri"/>
          <w:b/>
          <w:color w:val="525866"/>
          <w:sz w:val="22"/>
        </w:rPr>
        <w:t>Large-Account Property Strategy:</w:t>
      </w:r>
      <w:r>
        <w:rPr>
          <w:rFonts w:ascii="Calibri" w:hAnsi="Calibri"/>
          <w:color w:val="525866"/>
          <w:sz w:val="22"/>
        </w:rPr>
        <w:t xml:space="preserve"> Has the pace of property market softening accelerated, stabilized, or begun to reverse since Q1? Are you seeing any early signs of market discipline returning in shared/layered programs?</w:t>
      </w:r>
    </w:p>
    <w:p>
      <w:pPr>
        <w:pStyle w:val="ListNumber"/>
        <w:ind w:left="360" w:hanging="360"/>
      </w:pPr>
      <w:r>
        <w:rPr>
          <w:rFonts w:ascii="Calibri" w:hAnsi="Calibri"/>
          <w:b/>
          <w:color w:val="525866"/>
          <w:sz w:val="22"/>
        </w:rPr>
        <w:t>Premium Growth Outlook:</w:t>
      </w:r>
      <w:r>
        <w:rPr>
          <w:rFonts w:ascii="Calibri" w:hAnsi="Calibri"/>
          <w:color w:val="525866"/>
          <w:sz w:val="22"/>
        </w:rPr>
        <w:t xml:space="preserve"> With large-account property being deliberately shrunk, what is the underlying growth rate of the commercial book excluding that headwind? Can consumer and international segments sustain double-digit growth?</w:t>
      </w:r>
    </w:p>
    <w:p>
      <w:pPr>
        <w:pStyle w:val="ListNumber"/>
        <w:ind w:left="360" w:hanging="360"/>
      </w:pPr>
      <w:r>
        <w:rPr>
          <w:rFonts w:ascii="Calibri" w:hAnsi="Calibri"/>
          <w:b/>
          <w:color w:val="525866"/>
          <w:sz w:val="22"/>
        </w:rPr>
        <w:t>Life Insurance:</w:t>
      </w:r>
      <w:r>
        <w:rPr>
          <w:rFonts w:ascii="Calibri" w:hAnsi="Calibri"/>
          <w:color w:val="525866"/>
          <w:sz w:val="22"/>
        </w:rPr>
        <w:t xml:space="preserve"> How much did single-premium Asia business decelerate in Q2 vs. Q1's 33% surge? What is the normalized run-rate for Life segment income?</w:t>
      </w:r>
    </w:p>
    <w:p>
      <w:pPr>
        <w:pStyle w:val="ListNumber"/>
        <w:ind w:left="360" w:hanging="360"/>
      </w:pPr>
      <w:r>
        <w:rPr>
          <w:rFonts w:ascii="Calibri" w:hAnsi="Calibri"/>
          <w:b/>
          <w:color w:val="525866"/>
          <w:sz w:val="22"/>
        </w:rPr>
        <w:t>Investment Income:</w:t>
      </w:r>
      <w:r>
        <w:rPr>
          <w:rFonts w:ascii="Calibri" w:hAnsi="Calibri"/>
          <w:color w:val="525866"/>
          <w:sz w:val="22"/>
        </w:rPr>
        <w:t xml:space="preserve"> Did Q2 adjusted NII come in within the $1.825–$1.85B guided range? What is the Q3 2026 NII outlook given the current new money rate environment?</w:t>
      </w:r>
    </w:p>
    <w:p>
      <w:pPr>
        <w:pStyle w:val="ListNumber"/>
        <w:ind w:left="360" w:hanging="360"/>
      </w:pPr>
      <w:r>
        <w:rPr>
          <w:rFonts w:ascii="Calibri" w:hAnsi="Calibri"/>
          <w:b/>
          <w:color w:val="525866"/>
          <w:sz w:val="22"/>
        </w:rPr>
        <w:t>Casualty Reserving:</w:t>
      </w:r>
      <w:r>
        <w:rPr>
          <w:rFonts w:ascii="Calibri" w:hAnsi="Calibri"/>
          <w:color w:val="525866"/>
          <w:sz w:val="22"/>
        </w:rPr>
        <w:t xml:space="preserve"> Given WRB's commentary on California workers' comp and social inflation, how is Chubb thinking about its long-tail casualty reserve adequacy? Has the uncertainty provision been maintained or adjusted?</w:t>
      </w:r>
    </w:p>
    <w:p>
      <w:pPr>
        <w:pStyle w:val="ListNumber"/>
        <w:ind w:left="360" w:hanging="360"/>
      </w:pPr>
      <w:r>
        <w:rPr>
          <w:rFonts w:ascii="Calibri" w:hAnsi="Calibri"/>
          <w:b/>
          <w:color w:val="525866"/>
          <w:sz w:val="22"/>
        </w:rPr>
        <w:t>Capital Deployment:</w:t>
      </w:r>
      <w:r>
        <w:rPr>
          <w:rFonts w:ascii="Calibri" w:hAnsi="Calibri"/>
          <w:color w:val="525866"/>
          <w:sz w:val="22"/>
        </w:rPr>
        <w:t xml:space="preserve"> Share repurchases were $1.14B in Q1 at an average of $325/share. With the stock now at ~$352, has the pace of buybacks moderated? What is the current view on intrinsic value vs. market price?</w:t>
      </w:r>
    </w:p>
    <w:p>
      <w:pPr>
        <w:pStyle w:val="ListNumber"/>
        <w:ind w:left="360" w:hanging="360"/>
      </w:pPr>
      <w:r>
        <w:rPr>
          <w:rFonts w:ascii="Calibri" w:hAnsi="Calibri"/>
          <w:b/>
          <w:color w:val="525866"/>
          <w:sz w:val="22"/>
        </w:rPr>
        <w:t>Cyber Insurance:</w:t>
      </w:r>
      <w:r>
        <w:rPr>
          <w:rFonts w:ascii="Calibri" w:hAnsi="Calibri"/>
          <w:color w:val="525866"/>
          <w:sz w:val="22"/>
        </w:rPr>
        <w:t xml:space="preserve"> Management described an "arms race" in cyber on the Q1 call. How is the cyber book performing in Q2, and are you seeing any changes in loss frequency or severity from AI-enabled attacks?</w:t>
      </w:r>
    </w:p>
    <w:p>
      <w:r>
        <w:br w:type="page"/>
      </w:r>
    </w:p>
    <w:p>
      <w:pPr>
        <w:pStyle w:val="Heading2"/>
      </w:pPr>
      <w:r>
        <w:rPr>
          <w:rFonts w:ascii="Calibri" w:hAnsi="Calibri"/>
          <w:b/>
          <w:color w:val="3B4259"/>
          <w:sz w:val="28"/>
        </w:rPr>
        <w:t>Disclosures &amp;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consensus estimates and historical actuals for core operating EPS, P&amp;C combined ratio, P&amp;C net premiums written, and adjusted net investment income. Source: https://insights.visiblealpha.com/mex/CB_US/NMV/IS and https://insights.visiblealpha.com/mex/CB_US/NMV/PC</w:t>
      </w:r>
    </w:p>
    <w:p>
      <w:pPr>
        <w:pStyle w:val="ListBullet"/>
        <w:ind w:left="360" w:hanging="360"/>
      </w:pPr>
      <w:r>
        <w:rPr>
          <w:rFonts w:ascii="Calibri" w:hAnsi="Calibri"/>
          <w:b/>
          <w:color w:val="525866"/>
          <w:sz w:val="22"/>
        </w:rPr>
        <w:t>CB Q1 2026 Earnings Release (April 21, 2026)</w:t>
      </w:r>
      <w:r>
        <w:rPr>
          <w:rFonts w:ascii="Calibri" w:hAnsi="Calibri"/>
          <w:color w:val="525866"/>
          <w:sz w:val="22"/>
        </w:rPr>
        <w:t xml:space="preserve"> — Q1 2026 actuals, capital deployment, book value, investment portfolio data.</w:t>
      </w:r>
    </w:p>
    <w:p>
      <w:pPr>
        <w:pStyle w:val="ListBullet"/>
        <w:ind w:left="360" w:hanging="360"/>
      </w:pPr>
      <w:r>
        <w:rPr>
          <w:rFonts w:ascii="Calibri" w:hAnsi="Calibri"/>
          <w:b/>
          <w:color w:val="525866"/>
          <w:sz w:val="22"/>
        </w:rPr>
        <w:t>CB Q1 2026 Earnings Call Transcript (April 22, 2026)</w:t>
      </w:r>
      <w:r>
        <w:rPr>
          <w:rFonts w:ascii="Calibri" w:hAnsi="Calibri"/>
          <w:color w:val="525866"/>
          <w:sz w:val="22"/>
        </w:rPr>
        <w:t xml:space="preserve"> — Management guidance, pricing commentary, strategic outlook.</w:t>
      </w:r>
    </w:p>
    <w:p>
      <w:pPr>
        <w:pStyle w:val="ListBullet"/>
        <w:ind w:left="360" w:hanging="360"/>
      </w:pPr>
      <w:r>
        <w:rPr>
          <w:rFonts w:ascii="Calibri" w:hAnsi="Calibri"/>
          <w:b/>
          <w:color w:val="525866"/>
          <w:sz w:val="22"/>
        </w:rPr>
        <w:t>CB Q1 2026 Financial Supplement (8-K EX-99.2, April 21, 2026)</w:t>
      </w:r>
      <w:r>
        <w:rPr>
          <w:rFonts w:ascii="Calibri" w:hAnsi="Calibri"/>
          <w:color w:val="525866"/>
          <w:sz w:val="22"/>
        </w:rPr>
        <w:t xml:space="preserve"> — Detailed segment financials, combined ratios, investment portfolio metrics.</w:t>
      </w:r>
    </w:p>
    <w:p>
      <w:pPr>
        <w:pStyle w:val="ListBullet"/>
        <w:ind w:left="360" w:hanging="360"/>
      </w:pPr>
      <w:r>
        <w:rPr>
          <w:rFonts w:ascii="Calibri" w:hAnsi="Calibri"/>
          <w:b/>
          <w:color w:val="525866"/>
          <w:sz w:val="22"/>
        </w:rPr>
        <w:t>TRV Q2 2026 Earnings Call Transcript (July 17, 2026)</w:t>
      </w:r>
      <w:r>
        <w:rPr>
          <w:rFonts w:ascii="Calibri" w:hAnsi="Calibri"/>
          <w:color w:val="525866"/>
          <w:sz w:val="22"/>
        </w:rPr>
        <w:t xml:space="preserve"> — Peer commentary on pricing, catastrophe losses, investment income, and underwriting margins.</w:t>
      </w:r>
    </w:p>
    <w:p>
      <w:pPr>
        <w:pStyle w:val="ListBullet"/>
        <w:ind w:left="360" w:hanging="360"/>
      </w:pPr>
      <w:r>
        <w:rPr>
          <w:rFonts w:ascii="Calibri" w:hAnsi="Calibri"/>
          <w:b/>
          <w:color w:val="525866"/>
          <w:sz w:val="22"/>
        </w:rPr>
        <w:t>WRB Q2 2026 Earnings Call Transcript (July 20, 2026)</w:t>
      </w:r>
      <w:r>
        <w:rPr>
          <w:rFonts w:ascii="Calibri" w:hAnsi="Calibri"/>
          <w:color w:val="525866"/>
          <w:sz w:val="22"/>
        </w:rPr>
        <w:t xml:space="preserve"> — Peer commentary on property market conditions, casualty pricing, investment income, and AI.</w:t>
      </w:r>
    </w:p>
    <w:p>
      <w:pPr>
        <w:pStyle w:val="ListBullet"/>
        <w:ind w:left="360" w:hanging="360"/>
      </w:pPr>
      <w:r>
        <w:rPr>
          <w:rFonts w:ascii="Calibri" w:hAnsi="Calibri"/>
          <w:b/>
          <w:color w:val="525866"/>
          <w:sz w:val="22"/>
        </w:rPr>
        <w:t>ALL Q2 2026 Catastrophe Disclosure (8-K, July 16, 2026)</w:t>
      </w:r>
      <w:r>
        <w:rPr>
          <w:rFonts w:ascii="Calibri" w:hAnsi="Calibri"/>
          <w:color w:val="525866"/>
          <w:sz w:val="22"/>
        </w:rPr>
        <w:t xml:space="preserve"> — Industry catastrophe loss data for Q2 2026.</w:t>
      </w:r>
    </w:p>
    <w:p>
      <w:pPr>
        <w:pStyle w:val="ListBullet"/>
        <w:ind w:left="360" w:hanging="360"/>
      </w:pPr>
      <w:r>
        <w:rPr>
          <w:rFonts w:ascii="Calibri" w:hAnsi="Calibri"/>
          <w:b/>
          <w:color w:val="525866"/>
          <w:sz w:val="22"/>
        </w:rPr>
        <w:t>PGR Q2 2026 Earnings Release (July 15, 2026)</w:t>
      </w:r>
      <w:r>
        <w:rPr>
          <w:rFonts w:ascii="Calibri" w:hAnsi="Calibri"/>
          <w:color w:val="525866"/>
          <w:sz w:val="22"/>
        </w:rPr>
        <w:t xml:space="preserve"> — Peer data on premium growth, catastrophe activity, and investment income.</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Source: https://www.sec.gov/</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CB, KIE, SPY daily closing prices April 21 – July 21, 2026.</w:t>
      </w:r>
    </w:p>
    <w:p>
      <w:pPr>
        <w:pStyle w:val="ListBullet"/>
        <w:ind w:left="360" w:hanging="360"/>
      </w:pPr>
      <w:r>
        <w:rPr>
          <w:rFonts w:ascii="Calibri" w:hAnsi="Calibri"/>
          <w:b/>
          <w:color w:val="525866"/>
          <w:sz w:val="22"/>
        </w:rPr>
        <w:t>CB Stock Performance Decomposition Data</w:t>
      </w:r>
      <w:r>
        <w:rPr>
          <w:rFonts w:ascii="Calibri" w:hAnsi="Calibri"/>
          <w:color w:val="525866"/>
          <w:sz w:val="22"/>
        </w:rPr>
        <w:t xml:space="preserve"> — NTM multiple and price return decomposition.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