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gather the Q1 earnings release, recent news, and stock price data.Let me read the key transaction 8-Ks and recent news.Let me compute some price/performance stats to ground the preview.# Crown Castle (CCI) — Q2 2026 Earnings Preview</w:t>
      </w:r>
      <w:r>
        <w:t xml:space="preserve"> </w:t>
      </w:r>
      <w:r>
        <w:rPr>
          <w:b/>
          <w:bCs/>
        </w:rPr>
        <w:t xml:space="preserve">Report date:</w:t>
      </w:r>
      <w:r>
        <w:t xml:space="preserve"> </w:t>
      </w:r>
      <w:r>
        <w:t xml:space="preserve">Wednesday, July 22,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the-one-line-setup"/>
    <w:p>
      <w:pPr>
        <w:pStyle w:val="Heading2"/>
      </w:pPr>
      <w:r>
        <w:t xml:space="preserve">The one-line setup</w:t>
      </w:r>
    </w:p>
    <w:p>
      <w:pPr>
        <w:pStyle w:val="FirstParagraph"/>
      </w:pPr>
      <w:r>
        <w:t xml:space="preserve">This is Crown Castle's</w:t>
      </w:r>
      <w:r>
        <w:t xml:space="preserve"> </w:t>
      </w:r>
      <w:r>
        <w:rPr>
          <w:b/>
          <w:bCs/>
        </w:rPr>
        <w:t xml:space="preserve">first earnings report as a "pure-play" U.S. tower company.</w:t>
      </w:r>
      <w:r>
        <w:t xml:space="preserve"> </w:t>
      </w:r>
      <w:r>
        <w:t xml:space="preserve">The $8.5 billion sale of its fiber and small cell businesses closed on</w:t>
      </w:r>
      <w:r>
        <w:t xml:space="preserve"> </w:t>
      </w:r>
      <w:r>
        <w:rPr>
          <w:b/>
          <w:bCs/>
        </w:rPr>
        <w:t xml:space="preserve">May 1, 2026</w:t>
      </w:r>
      <w:r>
        <w:t xml:space="preserve"> </w:t>
      </w:r>
      <w:r>
        <w:t xml:space="preserve">(mid-Q2), so this quarter is investors' first look at the slimmed-down, tower-only CCI — and the first test of whether the new capital-allocation and cost-efficiency story holds up. The stock has been a notable laggard heading in, which raises the stakes.</w:t>
      </w:r>
    </w:p>
    <w:p>
      <w:r>
        <w:pict>
          <v:rect style="width:0;height:1.5pt" o:hralign="center" o:hrstd="t" o:hr="t"/>
        </w:pict>
      </w:r>
    </w:p>
    <w:bookmarkEnd w:id="9"/>
    <w:bookmarkStart w:id="10" w:name="Xfc25440719df719ef1ef2c47d126b4000b0d6cc"/>
    <w:p>
      <w:pPr>
        <w:pStyle w:val="Heading2"/>
      </w:pPr>
      <w:r>
        <w:t xml:space="preserve">1. Stock context: CCI is the tower group's underperformer</w:t>
      </w:r>
    </w:p>
    <w:p>
      <w:pPr>
        <w:pStyle w:val="FirstParagraph"/>
      </w:pPr>
      <w:r>
        <w:t xml:space="preserve">Coming into the print, CCI has meaningfully trailed its tower peers and sits near the lows of its recent range: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CCI</w:t>
            </w:r>
          </w:p>
        </w:tc>
        <w:tc>
          <w:tcPr/>
          <w:p>
            <w:pPr>
              <w:pStyle w:val="Compact"/>
            </w:pPr>
            <w:r>
              <w:t xml:space="preserve">AMT</w:t>
            </w:r>
          </w:p>
        </w:tc>
        <w:tc>
          <w:tcPr/>
          <w:p>
            <w:pPr>
              <w:pStyle w:val="Compact"/>
            </w:pPr>
            <w:r>
              <w:t xml:space="preserve">SBAC</w:t>
            </w:r>
          </w:p>
        </w:tc>
      </w:tr>
      <w:tr>
        <w:tc>
          <w:tcPr/>
          <w:p>
            <w:pPr>
              <w:pStyle w:val="Compact"/>
            </w:pPr>
            <w:r>
              <w:t xml:space="preserve">YTD price change (thru 7/21/26)</w:t>
            </w:r>
          </w:p>
        </w:tc>
        <w:tc>
          <w:tcPr/>
          <w:p>
            <w:pPr>
              <w:pStyle w:val="Compact"/>
            </w:pPr>
            <w:r>
              <w:rPr>
                <w:b/>
                <w:bCs/>
              </w:rPr>
              <w:t xml:space="preserve">–14%</w:t>
            </w:r>
          </w:p>
        </w:tc>
        <w:tc>
          <w:tcPr/>
          <w:p>
            <w:pPr>
              <w:pStyle w:val="Compact"/>
            </w:pPr>
            <w:r>
              <w:t xml:space="preserve">–6.5%</w:t>
            </w:r>
          </w:p>
        </w:tc>
        <w:tc>
          <w:tcPr/>
          <w:p>
            <w:pPr>
              <w:pStyle w:val="Compact"/>
            </w:pPr>
            <w:r>
              <w:t xml:space="preserve">–8.1%</w:t>
            </w:r>
          </w:p>
        </w:tc>
      </w:tr>
      <w:tr>
        <w:tc>
          <w:tcPr/>
          <w:p>
            <w:pPr>
              <w:pStyle w:val="Compact"/>
            </w:pPr>
            <w:r>
              <w:t xml:space="preserve">Price 7/21/26</w:t>
            </w:r>
          </w:p>
        </w:tc>
        <w:tc>
          <w:tcPr/>
          <w:p>
            <w:pPr>
              <w:pStyle w:val="Compact"/>
            </w:pPr>
            <w:r>
              <w:t xml:space="preserve">$76.22</w:t>
            </w:r>
          </w:p>
        </w:tc>
        <w:tc>
          <w:tcPr/>
          <w:p>
            <w:pPr>
              <w:pStyle w:val="Compact"/>
            </w:pPr>
            <w:r>
              <w:t xml:space="preserve">$163.42</w:t>
            </w:r>
          </w:p>
        </w:tc>
        <w:tc>
          <w:tcPr/>
          <w:p>
            <w:pPr>
              <w:pStyle w:val="Compact"/>
            </w:pPr>
            <w:r>
              <w:t xml:space="preserve">$176.85</w:t>
            </w:r>
          </w:p>
        </w:tc>
      </w:tr>
    </w:tbl>
    <w:p>
      <w:pPr>
        <w:pStyle w:val="BodyText"/>
      </w:pPr>
      <w:r>
        <w:t xml:space="preserve">The weakness is recent and sharp — CCI has fallen</w:t>
      </w:r>
      <w:r>
        <w:t xml:space="preserve"> </w:t>
      </w:r>
      <w:r>
        <w:rPr>
          <w:b/>
          <w:bCs/>
        </w:rPr>
        <w:t xml:space="preserve">~19% from its early-June peak (~$94.49 on 6/5)</w:t>
      </w:r>
      <w:r>
        <w:t xml:space="preserve"> </w:t>
      </w:r>
      <w:r>
        <w:t xml:space="preserve">to $76.22, sliding through the fiber-sale close and into the print. That underperformance sets a low bar in some respects but also signals the market wants proof points on growth, the dividend, and DISH. Sentiment into the quarter is cautious.</w:t>
      </w:r>
    </w:p>
    <w:p>
      <w:r>
        <w:pict>
          <v:rect style="width:0;height:1.5pt" o:hralign="center" o:hrstd="t" o:hr="t"/>
        </w:pict>
      </w:r>
    </w:p>
    <w:bookmarkEnd w:id="10"/>
    <w:bookmarkStart w:id="11" w:name="Xa189e08e98a7fb81d5b85d0352c5a01cefbf972"/>
    <w:p>
      <w:pPr>
        <w:pStyle w:val="Heading2"/>
      </w:pPr>
      <w:r>
        <w:t xml:space="preserve">2. The number that matters most: does guidance hold (or rise)?</w:t>
      </w:r>
    </w:p>
    <w:p>
      <w:pPr>
        <w:pStyle w:val="FirstParagraph"/>
      </w:pPr>
      <w:r>
        <w:t xml:space="preserve">Management</w:t>
      </w:r>
      <w:r>
        <w:t xml:space="preserve"> </w:t>
      </w:r>
      <w:r>
        <w:rPr>
          <w:b/>
          <w:bCs/>
        </w:rPr>
        <w:t xml:space="preserve">reaffirmed</w:t>
      </w:r>
      <w:r>
        <w:t xml:space="preserve"> </w:t>
      </w:r>
      <w:r>
        <w:t xml:space="preserve">full-year 2026 guidance at Q1 (April 22) and then</w:t>
      </w:r>
      <w:r>
        <w:t xml:space="preserve"> </w:t>
      </w:r>
      <w:r>
        <w:rPr>
          <w:b/>
          <w:bCs/>
        </w:rPr>
        <w:t xml:space="preserve">nudged it up on May 1</w:t>
      </w:r>
      <w:r>
        <w:t xml:space="preserve"> </w:t>
      </w:r>
      <w:r>
        <w:t xml:space="preserve">when the deal closed two months earlier than the modeled June 30 date, saving interest expense. Current standalone-tower FY26 outlook: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(FY26)</w:t>
            </w:r>
          </w:p>
        </w:tc>
        <w:tc>
          <w:tcPr/>
          <w:p>
            <w:pPr>
              <w:pStyle w:val="Compact"/>
            </w:pPr>
            <w:r>
              <w:t xml:space="preserve">Guidance range</w:t>
            </w:r>
          </w:p>
        </w:tc>
        <w:tc>
          <w:tcPr/>
          <w:p>
            <w:pPr>
              <w:pStyle w:val="Compact"/>
            </w:pPr>
            <w:r>
              <w:t xml:space="preserve">Midpoint</w:t>
            </w:r>
          </w:p>
        </w:tc>
      </w:tr>
      <w:tr>
        <w:tc>
          <w:tcPr/>
          <w:p>
            <w:pPr>
              <w:pStyle w:val="Compact"/>
            </w:pPr>
            <w:r>
              <w:t xml:space="preserve">Site rental billings</w:t>
            </w:r>
          </w:p>
        </w:tc>
        <w:tc>
          <w:tcPr/>
          <w:p>
            <w:pPr>
              <w:pStyle w:val="Compact"/>
            </w:pPr>
            <m:oMath>
              <m:r>
                <m:t>3</m:t>
              </m:r>
              <m:r>
                <m:rPr>
                  <m:sty m:val="p"/>
                </m:rPr>
                <m:t>,</m:t>
              </m:r>
              <m:r>
                <m:t>800</m:t>
              </m:r>
              <m:r>
                <m:rPr>
                  <m:sty m:val="p"/>
                </m:rPr>
                <m:t>–</m:t>
              </m:r>
            </m:oMath>
            <w:r>
              <w:t xml:space="preserve">3,830M</w:t>
            </w:r>
          </w:p>
        </w:tc>
        <w:tc>
          <w:tcPr/>
          <w:p>
            <w:pPr>
              <w:pStyle w:val="Compact"/>
            </w:pPr>
            <w:r>
              <w:t xml:space="preserve">~$3,815M</w:t>
            </w:r>
          </w:p>
        </w:tc>
      </w:tr>
      <w:tr>
        <w:tc>
          <w:tcPr/>
          <w:p>
            <w:pPr>
              <w:pStyle w:val="Compact"/>
            </w:pPr>
            <w:r>
              <w:t xml:space="preserve">Site rental revenues</w:t>
            </w:r>
          </w:p>
        </w:tc>
        <w:tc>
          <w:tcPr/>
          <w:p>
            <w:pPr>
              <w:pStyle w:val="Compact"/>
            </w:pPr>
            <m:oMath>
              <m:r>
                <m:t>3</m:t>
              </m:r>
              <m:r>
                <m:rPr>
                  <m:sty m:val="p"/>
                </m:rPr>
                <m:t>,</m:t>
              </m:r>
              <m:r>
                <m:t>828</m:t>
              </m:r>
              <m:r>
                <m:rPr>
                  <m:sty m:val="p"/>
                </m:rPr>
                <m:t>–</m:t>
              </m:r>
            </m:oMath>
            <w:r>
              <w:t xml:space="preserve">3,873M</w:t>
            </w:r>
          </w:p>
        </w:tc>
        <w:tc>
          <w:tcPr/>
          <w:p>
            <w:pPr>
              <w:pStyle w:val="Compact"/>
            </w:pPr>
            <w:r>
              <w:t xml:space="preserve">~$3,850M</w:t>
            </w:r>
          </w:p>
        </w:tc>
      </w:tr>
      <w:tr>
        <w:tc>
          <w:tcPr/>
          <w:p>
            <w:pPr>
              <w:pStyle w:val="Compact"/>
            </w:pPr>
            <w:r>
              <w:t xml:space="preserve">Adjusted EBITDA</w:t>
            </w:r>
          </w:p>
        </w:tc>
        <w:tc>
          <w:tcPr/>
          <w:p>
            <w:pPr>
              <w:pStyle w:val="Compact"/>
            </w:pPr>
            <m:oMath>
              <m:r>
                <m:t>2</m:t>
              </m:r>
              <m:r>
                <m:rPr>
                  <m:sty m:val="p"/>
                </m:rPr>
                <m:t>,</m:t>
              </m:r>
              <m:r>
                <m:t>665</m:t>
              </m:r>
              <m:r>
                <m:rPr>
                  <m:sty m:val="p"/>
                </m:rPr>
                <m:t>–</m:t>
              </m:r>
            </m:oMath>
            <w:r>
              <w:t xml:space="preserve">2,715M</w:t>
            </w:r>
          </w:p>
        </w:tc>
        <w:tc>
          <w:tcPr/>
          <w:p>
            <w:pPr>
              <w:pStyle w:val="Compact"/>
            </w:pPr>
            <w:r>
              <w:t xml:space="preserve">~$2,690M</w:t>
            </w:r>
          </w:p>
        </w:tc>
      </w:tr>
      <w:tr>
        <w:tc>
          <w:tcPr/>
          <w:p>
            <w:pPr>
              <w:pStyle w:val="Compact"/>
            </w:pPr>
            <w:r>
              <w:t xml:space="preserve">AFFO</w:t>
            </w:r>
          </w:p>
        </w:tc>
        <w:tc>
          <w:tcPr/>
          <w:p>
            <w:pPr>
              <w:pStyle w:val="Compact"/>
            </w:pPr>
            <m:oMath>
              <m:r>
                <m:t>1</m:t>
              </m:r>
              <m:r>
                <m:rPr>
                  <m:sty m:val="p"/>
                </m:rPr>
                <m:t>,</m:t>
              </m:r>
              <m:r>
                <m:t>945</m:t>
              </m:r>
              <m:r>
                <m:rPr>
                  <m:sty m:val="p"/>
                </m:rPr>
                <m:t>–</m:t>
              </m:r>
            </m:oMath>
            <w:r>
              <w:t xml:space="preserve">1,995M</w:t>
            </w:r>
          </w:p>
        </w:tc>
        <w:tc>
          <w:tcPr/>
          <w:p>
            <w:pPr>
              <w:pStyle w:val="Compact"/>
            </w:pPr>
            <w:r>
              <w:t xml:space="preserve">~$1,970M</w:t>
            </w:r>
          </w:p>
        </w:tc>
      </w:tr>
      <w:tr>
        <w:tc>
          <w:tcPr/>
          <w:p>
            <w:pPr>
              <w:pStyle w:val="Compact"/>
            </w:pPr>
            <w:r>
              <w:rPr>
                <w:b/>
                <w:bCs/>
              </w:rPr>
              <w:t xml:space="preserve">AFFO per share</w:t>
            </w:r>
          </w:p>
        </w:tc>
        <w:tc>
          <w:tcPr/>
          <w:p>
            <w:pPr>
              <w:pStyle w:val="Compact"/>
            </w:pPr>
            <m:oMath>
              <m:r>
                <m:t>4.53</m:t>
              </m:r>
              <m:r>
                <m:rPr>
                  <m:sty m:val="p"/>
                </m:rPr>
                <m:t>–</m:t>
              </m:r>
            </m:oMath>
            <w:r>
              <w:rPr>
                <w:b/>
                <w:bCs/>
              </w:rPr>
              <w:t xml:space="preserve">4.65</w:t>
            </w:r>
          </w:p>
        </w:tc>
        <w:tc>
          <w:tcPr/>
          <w:p>
            <w:pPr>
              <w:pStyle w:val="Compact"/>
            </w:pPr>
            <w:r>
              <w:rPr>
                <w:b/>
                <w:bCs/>
              </w:rPr>
              <w:t xml:space="preserve">~$4.59</w:t>
            </w:r>
          </w:p>
        </w:tc>
      </w:tr>
      <w:tr>
        <w:tc>
          <w:tcPr/>
          <w:p>
            <w:pPr>
              <w:pStyle w:val="Compact"/>
            </w:pPr>
            <w:r>
              <w:t xml:space="preserve">Discretionary capex</w:t>
            </w:r>
          </w:p>
        </w:tc>
        <w:tc>
          <w:tcPr/>
          <w:p>
            <w:pPr>
              <w:pStyle w:val="Compact"/>
            </w:pPr>
            <m:oMath>
              <m:r>
                <m:t>150</m:t>
              </m:r>
              <m:r>
                <m:rPr>
                  <m:sty m:val="p"/>
                </m:rPr>
                <m:t>–</m:t>
              </m:r>
            </m:oMath>
            <w:r>
              <w:t xml:space="preserve">250M</w:t>
            </w:r>
          </w:p>
        </w:tc>
        <w:tc>
          <w:tcPr/>
          <w:p>
            <w:pPr>
              <w:pStyle w:val="Compact"/>
            </w:pPr>
            <w:r>
              <w:t xml:space="preserve">~$200M</w:t>
            </w:r>
          </w:p>
        </w:tc>
      </w:tr>
    </w:tbl>
    <w:p>
      <w:pPr>
        <w:pStyle w:val="BodyText"/>
      </w:pPr>
      <w:r>
        <w:rPr>
          <w:b/>
          <w:bCs/>
        </w:rPr>
        <w:t xml:space="preserve">What to watch:</w:t>
      </w:r>
      <w:r>
        <w:t xml:space="preserve"> </w:t>
      </w:r>
      <w:r>
        <w:t xml:space="preserve">Q2 is the first "clean" quarter, and management framed 2026 as</w:t>
      </w:r>
      <w:r>
        <w:t xml:space="preserve"> </w:t>
      </w:r>
      <w:r>
        <w:rPr>
          <w:b/>
          <w:bCs/>
        </w:rPr>
        <w:t xml:space="preserve">second-half-weighted on growth</w:t>
      </w:r>
      <w:r>
        <w:t xml:space="preserve">. Watch for (a) any raise/narrowing after the early close and the $1B buyback, (b) interest-expense guidance (now $792–837M vs.</w:t>
      </w:r>
      <w:r>
        <w:t xml:space="preserve"> </w:t>
      </w:r>
      <m:oMath>
        <m:r>
          <m:t>832</m:t>
        </m:r>
        <m:r>
          <m:rPr>
            <m:sty m:val="p"/>
          </m:rPr>
          <m:t>–</m:t>
        </m:r>
        <m:r>
          <m:t>877</m:t>
        </m:r>
        <m:r>
          <m:t>M</m:t>
        </m:r>
        <m:r>
          <m:t>p</m:t>
        </m:r>
        <m:r>
          <m:t>r</m:t>
        </m:r>
        <m:r>
          <m:t>e</m:t>
        </m:r>
        <m:r>
          <m:rPr>
            <m:sty m:val="p"/>
          </m:rPr>
          <m:t>−</m:t>
        </m:r>
        <m:r>
          <m:t>c</m:t>
        </m:r>
        <m:r>
          <m:t>l</m:t>
        </m:r>
        <m:r>
          <m:t>o</m:t>
        </m:r>
        <m:r>
          <m:t>s</m:t>
        </m:r>
        <m:r>
          <m:t>e</m:t>
        </m:r>
        <m:r>
          <m:rPr>
            <m:sty m:val="p"/>
          </m:rPr>
          <m:t>)</m:t>
        </m:r>
        <m:r>
          <m:rPr>
            <m:sty m:val="p"/>
          </m:rPr>
          <m:t>,</m:t>
        </m:r>
        <m:r>
          <m:t>a</m:t>
        </m:r>
        <m:r>
          <m:t>n</m:t>
        </m:r>
        <m:r>
          <m:t>d</m:t>
        </m:r>
        <m:r>
          <m:rPr>
            <m:sty m:val="p"/>
          </m:rPr>
          <m:t>(</m:t>
        </m:r>
        <m:r>
          <m:t>c</m:t>
        </m:r>
        <m:r>
          <m:rPr>
            <m:sty m:val="p"/>
          </m:rPr>
          <m:t>)</m:t>
        </m:r>
        <m:r>
          <m:t>w</m:t>
        </m:r>
        <m:r>
          <m:t>h</m:t>
        </m:r>
        <m:r>
          <m:t>e</m:t>
        </m:r>
        <m:r>
          <m:t>t</m:t>
        </m:r>
        <m:r>
          <m:t>h</m:t>
        </m:r>
        <m:r>
          <m:t>e</m:t>
        </m:r>
        <m:r>
          <m:t>r</m:t>
        </m:r>
        <m:r>
          <m:t>t</m:t>
        </m:r>
        <m:r>
          <m:t>h</m:t>
        </m:r>
        <m:r>
          <m:t>e</m:t>
        </m:r>
        <m:r>
          <m:t> </m:t>
        </m:r>
      </m:oMath>
      <w:r>
        <w:t xml:space="preserve">4.59 AFFO/share midpoint moves. Note the reported net income/AFFO will again carry</w:t>
      </w:r>
      <w:r>
        <w:t xml:space="preserve"> </w:t>
      </w:r>
      <w:r>
        <w:rPr>
          <w:b/>
          <w:bCs/>
        </w:rPr>
        <w:t xml:space="preserve">discontinued-operations noise</w:t>
      </w:r>
      <w:r>
        <w:t xml:space="preserve"> </w:t>
      </w:r>
      <w:r>
        <w:t xml:space="preserve">(the fiber business ran through May 1, including a disposal loss), so focus on continuing-operations trends and the "12-months-post-close AFFO of ~$2.1B" framing management has emphasized.</w:t>
      </w:r>
    </w:p>
    <w:p>
      <w:r>
        <w:pict>
          <v:rect style="width:0;height:1.5pt" o:hralign="center" o:hrstd="t" o:hr="t"/>
        </w:pict>
      </w:r>
    </w:p>
    <w:bookmarkEnd w:id="11"/>
    <w:bookmarkStart w:id="12" w:name="X9f337a97cc2ea46b58f955e6a7e1b02484361be"/>
    <w:p>
      <w:pPr>
        <w:pStyle w:val="Heading2"/>
      </w:pPr>
      <w:r>
        <w:t xml:space="preserve">3. Organic growth — the core debate</w:t>
      </w:r>
    </w:p>
    <w:p>
      <w:pPr>
        <w:pStyle w:val="FirstParagraph"/>
      </w:pPr>
      <w:r>
        <w:t xml:space="preserve">Underlying tower demand is steady but unspectacular, and DISH/Sprint churn masks it:</w:t>
      </w:r>
    </w:p>
    <w:p>
      <w:pPr>
        <w:pStyle w:val="Compact"/>
        <w:numPr>
          <w:ilvl w:val="0"/>
          <w:numId w:val="1001"/>
        </w:numPr>
      </w:pPr>
      <w:r>
        <w:t xml:space="preserve">Q1 organic growth (ex-Sprint/DISH) was</w:t>
      </w:r>
      <w:r>
        <w:t xml:space="preserve"> </w:t>
      </w:r>
      <w:r>
        <w:rPr>
          <w:b/>
          <w:bCs/>
        </w:rPr>
        <w:t xml:space="preserve">3.1% (~$30M)</w:t>
      </w:r>
      <w:r>
        <w:t xml:space="preserve">, or ~3.3–3.6% on cleaner bases; full-year target is **~3.5% ex-DISH**, which management called</w:t>
      </w:r>
      <w:r>
        <w:t xml:space="preserve"> </w:t>
      </w:r>
      <w:r>
        <w:rPr>
          <w:b/>
          <w:bCs/>
        </w:rPr>
        <w:t xml:space="preserve">the low point</w:t>
      </w:r>
      <w:r>
        <w:t xml:space="preserve"> </w:t>
      </w:r>
      <w:r>
        <w:t xml:space="preserve">of the cycle.</w:t>
      </w:r>
    </w:p>
    <w:p>
      <w:pPr>
        <w:pStyle w:val="Compact"/>
        <w:numPr>
          <w:ilvl w:val="0"/>
          <w:numId w:val="1001"/>
        </w:numPr>
      </w:pPr>
      <w:r>
        <w:t xml:space="preserve">Components for FY26: core leasing ~</w:t>
      </w:r>
      <m:oMath>
        <m:r>
          <m:t>60</m:t>
        </m:r>
        <m:r>
          <m:rPr>
            <m:sty m:val="p"/>
          </m:rPr>
          <m:t>–</m:t>
        </m:r>
        <m:r>
          <m:t>70</m:t>
        </m:r>
        <m:r>
          <m:t>M</m:t>
        </m:r>
        <m:r>
          <m:rPr>
            <m:sty m:val="p"/>
          </m:rPr>
          <m:t>,</m:t>
        </m:r>
        <m:r>
          <m:t>e</m:t>
        </m:r>
        <m:r>
          <m:t>s</m:t>
        </m:r>
        <m:r>
          <m:t>c</m:t>
        </m:r>
        <m:r>
          <m:t>a</m:t>
        </m:r>
        <m:r>
          <m:t>l</m:t>
        </m:r>
        <m:r>
          <m:t>a</m:t>
        </m:r>
        <m:r>
          <m:t>t</m:t>
        </m:r>
        <m:r>
          <m:t>o</m:t>
        </m:r>
        <m:r>
          <m:t>r</m:t>
        </m:r>
        <m:r>
          <m:t>s</m:t>
        </m:r>
        <m:r>
          <m:t> </m:t>
        </m:r>
      </m:oMath>
      <w:r>
        <w:t xml:space="preserve">95–105M, offset by non-renewals.</w:t>
      </w:r>
    </w:p>
    <w:p>
      <w:pPr>
        <w:pStyle w:val="Compact"/>
        <w:numPr>
          <w:ilvl w:val="0"/>
          <w:numId w:val="1001"/>
        </w:numPr>
      </w:pPr>
      <w:r>
        <w:t xml:space="preserve">The big reported drags:</w:t>
      </w:r>
      <w:r>
        <w:t xml:space="preserve"> </w:t>
      </w:r>
      <m:oMath>
        <m:r>
          <m:t>220</m:t>
        </m:r>
        <m:r>
          <m:t>M</m:t>
        </m:r>
        <m:r>
          <m:t>o</m:t>
        </m:r>
        <m:r>
          <m:t>f</m:t>
        </m:r>
        <m:r>
          <m:t>D</m:t>
        </m:r>
        <m:r>
          <m:t>I</m:t>
        </m:r>
        <m:r>
          <m:t>S</m:t>
        </m:r>
        <m:r>
          <m:t>H</m:t>
        </m:r>
        <m:r>
          <m:t>t</m:t>
        </m:r>
        <m:r>
          <m:t>e</m:t>
        </m:r>
        <m:r>
          <m:t>r</m:t>
        </m:r>
        <m:r>
          <m:t>m</m:t>
        </m:r>
        <m:r>
          <m:t>i</m:t>
        </m:r>
        <m:r>
          <m:t>n</m:t>
        </m:r>
        <m:r>
          <m:t>a</m:t>
        </m:r>
        <m:r>
          <m:t>t</m:t>
        </m:r>
        <m:r>
          <m:t>i</m:t>
        </m:r>
        <m:r>
          <m:t>o</m:t>
        </m:r>
        <m:r>
          <m:t>n</m:t>
        </m:r>
        <m:r>
          <m:t>s</m:t>
        </m:r>
        <m:r>
          <m:rPr>
            <m:sty m:val="p"/>
          </m:rPr>
          <m:t>*</m:t>
        </m:r>
        <m:r>
          <m:rPr>
            <m:sty m:val="p"/>
          </m:rPr>
          <m:t>*</m:t>
        </m:r>
        <m:r>
          <m:t>a</m:t>
        </m:r>
        <m:r>
          <m:t>n</m:t>
        </m:r>
        <m:r>
          <m:t>d</m:t>
        </m:r>
        <m:r>
          <m:rPr>
            <m:sty m:val="p"/>
          </m:rPr>
          <m:t>*</m:t>
        </m:r>
        <m:r>
          <m:rPr>
            <m:sty m:val="p"/>
          </m:rPr>
          <m:t>*</m:t>
        </m:r>
      </m:oMath>
      <w:r>
        <w:rPr>
          <w:b/>
          <w:bCs/>
        </w:rPr>
        <w:t xml:space="preserve">20M of Sprint cancellations</w:t>
      </w:r>
      <w:r>
        <w:t xml:space="preserve"> </w:t>
      </w:r>
      <w:r>
        <w:t xml:space="preserve">($240M combined), which push</w:t>
      </w:r>
      <w:r>
        <w:t xml:space="preserve"> </w:t>
      </w:r>
      <w:r>
        <w:rPr>
          <w:i/>
          <w:iCs/>
        </w:rPr>
        <w:t xml:space="preserve">reported</w:t>
      </w:r>
      <w:r>
        <w:t xml:space="preserve"> </w:t>
      </w:r>
      <w:r>
        <w:t xml:space="preserve">organic contribution</w:t>
      </w:r>
      <w:r>
        <w:t xml:space="preserve"> </w:t>
      </w:r>
      <w:r>
        <w:rPr>
          <w:b/>
          <w:bCs/>
        </w:rPr>
        <w:t xml:space="preserve">negative</w:t>
      </w:r>
      <w:r>
        <w:t xml:space="preserve"> </w:t>
      </w:r>
      <w:r>
        <w:t xml:space="preserve">(~–2.8%).</w:t>
      </w:r>
    </w:p>
    <w:p>
      <w:pPr>
        <w:pStyle w:val="FirstParagraph"/>
      </w:pPr>
      <w:r>
        <w:rPr>
          <w:b/>
          <w:bCs/>
        </w:rPr>
        <w:t xml:space="preserve">What to watch:</w:t>
      </w:r>
      <w:r>
        <w:t xml:space="preserve"> </w:t>
      </w:r>
      <w:r>
        <w:t xml:space="preserve">Any acceleration in</w:t>
      </w:r>
      <w:r>
        <w:t xml:space="preserve"> </w:t>
      </w:r>
      <w:r>
        <w:rPr>
          <w:b/>
          <w:bCs/>
        </w:rPr>
        <w:t xml:space="preserve">core leasing / application volumes</w:t>
      </w:r>
      <w:r>
        <w:t xml:space="preserve"> </w:t>
      </w:r>
      <w:r>
        <w:t xml:space="preserve">as the second half builds; commentary on carrier densification, AT&amp;T's deployment of acquired EchoStar/DISH spectrum, and the 2027 upper C-band / 800 MHz auctions as the next up-cycle catalyst. Management argues nothing is structurally different about CCI's (urban/suburban-skewed) portfolio versus peers — investors will want evidence the growth gap is timing, not quality.</w:t>
      </w:r>
    </w:p>
    <w:p>
      <w:r>
        <w:pict>
          <v:rect style="width:0;height:1.5pt" o:hralign="center" o:hrstd="t" o:hr="t"/>
        </w:pict>
      </w:r>
    </w:p>
    <w:bookmarkEnd w:id="12"/>
    <w:bookmarkStart w:id="13" w:name="Xe2ef3af922bc796e6eb4ca5e3351a8b5f896d32"/>
    <w:p>
      <w:pPr>
        <w:pStyle w:val="Heading2"/>
      </w:pPr>
      <w:r>
        <w:t xml:space="preserve">4. Capital allocation — dividend vs. buyback is the live controversy</w:t>
      </w:r>
    </w:p>
    <w:p>
      <w:pPr>
        <w:pStyle w:val="FirstParagraph"/>
      </w:pPr>
      <w:r>
        <w:t xml:space="preserve">Use of the ~$8.4B net proceeds is the crux of the standalone story:</w:t>
      </w:r>
    </w:p>
    <w:p>
      <w:pPr>
        <w:pStyle w:val="Compact"/>
        <w:numPr>
          <w:ilvl w:val="0"/>
          <w:numId w:val="1002"/>
        </w:numPr>
      </w:pPr>
      <w:r>
        <w:t xml:space="preserve">**~</w:t>
      </w:r>
      <m:oMath>
        <m:r>
          <m:t>7</m:t>
        </m:r>
        <m:r>
          <m:t>B</m:t>
        </m:r>
        <m:r>
          <m:rPr>
            <m:sty m:val="p"/>
          </m:rPr>
          <m:t>+</m:t>
        </m:r>
        <m:r>
          <m:t>o</m:t>
        </m:r>
        <m:r>
          <m:t>f</m:t>
        </m:r>
        <m:r>
          <m:t>d</m:t>
        </m:r>
        <m:r>
          <m:t>e</m:t>
        </m:r>
        <m:r>
          <m:t>b</m:t>
        </m:r>
        <m:r>
          <m:t>t</m:t>
        </m:r>
        <m:r>
          <m:t>r</m:t>
        </m:r>
        <m:r>
          <m:t>e</m:t>
        </m:r>
        <m:r>
          <m:t>p</m:t>
        </m:r>
        <m:r>
          <m:t>a</m:t>
        </m:r>
        <m:r>
          <m:t>y</m:t>
        </m:r>
        <m:r>
          <m:t>m</m:t>
        </m:r>
        <m:r>
          <m:t>e</m:t>
        </m:r>
        <m:r>
          <m:t>n</m:t>
        </m:r>
        <m:r>
          <m:t>t</m:t>
        </m:r>
        <m:r>
          <m:rPr>
            <m:sty m:val="p"/>
          </m:rPr>
          <m:t>*</m:t>
        </m:r>
        <m:r>
          <m:rPr>
            <m:sty m:val="p"/>
          </m:rPr>
          <m:t>*</m:t>
        </m:r>
        <m:r>
          <m:t>t</m:t>
        </m:r>
        <m:r>
          <m:t>o</m:t>
        </m:r>
        <m:r>
          <m:t>s</m:t>
        </m:r>
        <m:r>
          <m:t>t</m:t>
        </m:r>
        <m:r>
          <m:t>a</m:t>
        </m:r>
        <m:r>
          <m:t>y</m:t>
        </m:r>
        <m:r>
          <m:t>w</m:t>
        </m:r>
        <m:r>
          <m:t>i</m:t>
        </m:r>
        <m:r>
          <m:t>t</m:t>
        </m:r>
        <m:r>
          <m:t>h</m:t>
        </m:r>
        <m:r>
          <m:t>i</m:t>
        </m:r>
        <m:r>
          <m:t>n</m:t>
        </m:r>
        <m:r>
          <m:t>t</m:t>
        </m:r>
        <m:r>
          <m:t>h</m:t>
        </m:r>
        <m:r>
          <m:t>e</m:t>
        </m:r>
        <m:r>
          <m:rPr>
            <m:sty m:val="p"/>
          </m:rPr>
          <m:t>*</m:t>
        </m:r>
        <m:r>
          <m:rPr>
            <m:sty m:val="p"/>
          </m:rPr>
          <m:t>*</m:t>
        </m:r>
        <m:r>
          <m:t>6.0</m:t>
        </m:r>
        <m:r>
          <m:rPr>
            <m:sty m:val="p"/>
          </m:rPr>
          <m:t>–</m:t>
        </m:r>
        <m:r>
          <m:t>6.5</m:t>
        </m:r>
        <m:r>
          <m:t>x</m:t>
        </m:r>
        <m:r>
          <m:rPr>
            <m:sty m:val="p"/>
          </m:rPr>
          <m:t>*</m:t>
        </m:r>
        <m:r>
          <m:rPr>
            <m:sty m:val="p"/>
          </m:rPr>
          <m:t>*</m:t>
        </m:r>
        <m:r>
          <m:t>t</m:t>
        </m:r>
        <m:r>
          <m:t>a</m:t>
        </m:r>
        <m:r>
          <m:t>r</m:t>
        </m:r>
        <m:r>
          <m:t>g</m:t>
        </m:r>
        <m:r>
          <m:t>e</m:t>
        </m:r>
        <m:r>
          <m:t>t</m:t>
        </m:r>
        <m:r>
          <m:t>l</m:t>
        </m:r>
        <m:r>
          <m:t>e</m:t>
        </m:r>
        <m:r>
          <m:t>v</m:t>
        </m:r>
        <m:r>
          <m:t>e</m:t>
        </m:r>
        <m:r>
          <m:t>r</m:t>
        </m:r>
        <m:r>
          <m:t>a</m:t>
        </m:r>
        <m:r>
          <m:t>g</m:t>
        </m:r>
        <m:r>
          <m:t>e</m:t>
        </m:r>
        <m:r>
          <m:t>r</m:t>
        </m:r>
        <m:r>
          <m:t>a</m:t>
        </m:r>
        <m:r>
          <m:t>n</m:t>
        </m:r>
        <m:r>
          <m:t>g</m:t>
        </m:r>
        <m:r>
          <m:t>e</m:t>
        </m:r>
        <m:r>
          <m:rPr>
            <m:sty m:val="p"/>
          </m:rPr>
          <m:t>(</m:t>
        </m:r>
        <m:r>
          <m:t>n</m:t>
        </m:r>
        <m:r>
          <m:t>e</m:t>
        </m:r>
        <m:r>
          <m:t>t</m:t>
        </m:r>
        <m:r>
          <m:t>d</m:t>
        </m:r>
        <m:r>
          <m:t>e</m:t>
        </m:r>
        <m:r>
          <m:t>b</m:t>
        </m:r>
        <m:r>
          <m:t>t</m:t>
        </m:r>
        <m:r>
          <m:t>w</m:t>
        </m:r>
        <m:r>
          <m:t>a</m:t>
        </m:r>
        <m:r>
          <m:t>s</m:t>
        </m:r>
        <m:r>
          <m:t> </m:t>
        </m:r>
      </m:oMath>
      <w:r>
        <w:t xml:space="preserve">24.6B at Q1; ~79% fixed-rate; ~$1.75B of June/July 2026 maturities to clear).</w:t>
      </w:r>
    </w:p>
    <w:p>
      <w:pPr>
        <w:pStyle w:val="Compact"/>
        <w:numPr>
          <w:ilvl w:val="0"/>
          <w:numId w:val="1002"/>
        </w:numPr>
      </w:pPr>
      <w:r>
        <w:rPr>
          <w:b/>
          <w:bCs/>
        </w:rPr>
        <w:t xml:space="preserve">$1.0B share buyback</w:t>
      </w:r>
      <w:r>
        <w:t xml:space="preserve"> </w:t>
      </w:r>
      <w:r>
        <w:t xml:space="preserve">authorized effective May 1 —</w:t>
      </w:r>
      <w:r>
        <w:t xml:space="preserve"> </w:t>
      </w:r>
      <w:r>
        <w:rPr>
          <w:b/>
          <w:bCs/>
        </w:rPr>
        <w:t xml:space="preserve">watch for how much was executed in Q2</w:t>
      </w:r>
      <w:r>
        <w:t xml:space="preserve"> </w:t>
      </w:r>
      <w:r>
        <w:t xml:space="preserve">and the pace going forward.</w:t>
      </w:r>
    </w:p>
    <w:p>
      <w:pPr>
        <w:pStyle w:val="Compact"/>
        <w:numPr>
          <w:ilvl w:val="0"/>
          <w:numId w:val="1002"/>
        </w:numPr>
      </w:pPr>
      <w:r>
        <w:rPr>
          <w:b/>
          <w:bCs/>
        </w:rPr>
        <w:t xml:space="preserve">Dividend held flat at</w:t>
      </w:r>
      <w:r>
        <w:rPr>
          <w:b/>
          <w:bCs/>
        </w:rPr>
        <w:t xml:space="preserve"> </w:t>
      </w:r>
      <m:oMath>
        <m:r>
          <m:t>1.0625</m:t>
        </m:r>
        <m:r>
          <m:rPr>
            <m:sty m:val="p"/>
          </m:rPr>
          <m:t>/</m:t>
        </m:r>
        <m:r>
          <m:t>q</m:t>
        </m:r>
        <m:r>
          <m:t>u</m:t>
        </m:r>
        <m:r>
          <m:t>a</m:t>
        </m:r>
        <m:r>
          <m:t>r</m:t>
        </m:r>
        <m:r>
          <m:t>t</m:t>
        </m:r>
        <m:r>
          <m:t>e</m:t>
        </m:r>
        <m:r>
          <m:t>r</m:t>
        </m:r>
        <m:r>
          <m:rPr>
            <m:sty m:val="p"/>
          </m:rPr>
          <m:t>(</m:t>
        </m:r>
        <m:r>
          <m:t> </m:t>
        </m:r>
      </m:oMath>
      <w:r>
        <w:rPr>
          <w:b/>
          <w:bCs/>
        </w:rPr>
        <w:t xml:space="preserve">4.25/yr).</w:t>
      </w:r>
      <w:r>
        <w:t xml:space="preserve"> </w:t>
      </w:r>
      <w:r>
        <w:t xml:space="preserve">At the ~$4.59 AFFO midpoint that's a **~93% payout** — high, and a recurring analyst pushback (one analyst explicitly argued a cut + more buyback would be more accretive at the depressed share price). Management has defended holding the dividend, expecting AFFO growth to bring the payout back into range "over the next couple of years."</w:t>
      </w:r>
    </w:p>
    <w:p>
      <w:pPr>
        <w:pStyle w:val="FirstParagraph"/>
      </w:pPr>
      <w:r>
        <w:rPr>
          <w:b/>
          <w:bCs/>
        </w:rPr>
        <w:t xml:space="preserve">What to watch:</w:t>
      </w:r>
      <w:r>
        <w:t xml:space="preserve"> </w:t>
      </w:r>
      <w:r>
        <w:t xml:space="preserve">Any change to dividend policy, updated buyback progress, and leverage/credit-rating commentary. With the stock down, buyback accretion math is more attractive.</w:t>
      </w:r>
    </w:p>
    <w:p>
      <w:r>
        <w:pict>
          <v:rect style="width:0;height:1.5pt" o:hralign="center" o:hrstd="t" o:hr="t"/>
        </w:pict>
      </w:r>
    </w:p>
    <w:bookmarkEnd w:id="13"/>
    <w:bookmarkStart w:id="14" w:name="Xb905ace1c12c6395ca64d287530d8b2ea5dd499"/>
    <w:p>
      <w:pPr>
        <w:pStyle w:val="Heading2"/>
      </w:pPr>
      <w:r>
        <w:t xml:space="preserve">5. DISH / EchoStar litigation — the wildcard</w:t>
      </w:r>
    </w:p>
    <w:p>
      <w:pPr>
        <w:pStyle w:val="FirstParagraph"/>
      </w:pPr>
      <w:r>
        <w:t xml:space="preserve">After DISH defaulted in January 2026, CCI terminated the contract and is</w:t>
      </w:r>
      <w:r>
        <w:t xml:space="preserve"> </w:t>
      </w:r>
      <w:r>
        <w:rPr>
          <w:b/>
          <w:bCs/>
        </w:rPr>
        <w:t xml:space="preserve">pursuing recovery in federal court</w:t>
      </w:r>
      <w:r>
        <w:t xml:space="preserve">, having amended its suit to add a</w:t>
      </w:r>
      <w:r>
        <w:t xml:space="preserve"> </w:t>
      </w:r>
      <w:r>
        <w:rPr>
          <w:b/>
          <w:bCs/>
        </w:rPr>
        <w:t xml:space="preserve">breach-of-contract claim</w:t>
      </w:r>
      <w:r>
        <w:t xml:space="preserve"> </w:t>
      </w:r>
      <w:r>
        <w:t xml:space="preserve">and a</w:t>
      </w:r>
      <w:r>
        <w:t xml:space="preserve"> </w:t>
      </w:r>
      <w:r>
        <w:rPr>
          <w:b/>
          <w:bCs/>
        </w:rPr>
        <w:t xml:space="preserve">claim against EchoStar</w:t>
      </w:r>
      <w:r>
        <w:t xml:space="preserve"> </w:t>
      </w:r>
      <w:r>
        <w:t xml:space="preserve">for allegedly helping DISH evade commitments. Management is also lobbying in Washington alongside the Wireless Industry Association.</w:t>
      </w:r>
    </w:p>
    <w:p>
      <w:pPr>
        <w:pStyle w:val="BodyText"/>
      </w:pPr>
      <w:r>
        <w:rPr>
          <w:b/>
          <w:bCs/>
        </w:rPr>
        <w:t xml:space="preserve">What to watch:</w:t>
      </w:r>
      <w:r>
        <w:t xml:space="preserve"> </w:t>
      </w:r>
      <w:r>
        <w:t xml:space="preserve">Any procedural updates or settlement signals. Management has cautioned a legal outcome takes</w:t>
      </w:r>
      <w:r>
        <w:t xml:space="preserve"> </w:t>
      </w:r>
      <w:r>
        <w:rPr>
          <w:b/>
          <w:bCs/>
        </w:rPr>
        <w:t xml:space="preserve">"at least a year,"</w:t>
      </w:r>
      <w:r>
        <w:t xml:space="preserve"> </w:t>
      </w:r>
      <w:r>
        <w:t xml:space="preserve">so don't expect resolution — but any hint of recovery is pure upside not in guidance. The $220M DISH revenue hole is the biggest reason reported growth looks weak.</w:t>
      </w:r>
    </w:p>
    <w:p>
      <w:r>
        <w:pict>
          <v:rect style="width:0;height:1.5pt" o:hralign="center" o:hrstd="t" o:hr="t"/>
        </w:pict>
      </w:r>
    </w:p>
    <w:bookmarkEnd w:id="14"/>
    <w:bookmarkStart w:id="15" w:name="Xbbe646627d309b4411ac81f42c32c0a5428cae7"/>
    <w:p>
      <w:pPr>
        <w:pStyle w:val="Heading2"/>
      </w:pPr>
      <w:r>
        <w:t xml:space="preserve">6. The "best-in-class operator" transformation — margins &amp; optionality</w:t>
      </w:r>
    </w:p>
    <w:p>
      <w:pPr>
        <w:pStyle w:val="FirstParagraph"/>
      </w:pPr>
      <w:r>
        <w:t xml:space="preserve">The bull case rests on self-help and new revenue streams:</w:t>
      </w:r>
    </w:p>
    <w:p>
      <w:pPr>
        <w:pStyle w:val="Compact"/>
        <w:numPr>
          <w:ilvl w:val="0"/>
          <w:numId w:val="1003"/>
        </w:numPr>
      </w:pPr>
      <w:r>
        <w:rPr>
          <w:b/>
          <w:bCs/>
        </w:rPr>
        <w:t xml:space="preserve">Cost outs:</w:t>
      </w:r>
      <w:r>
        <w:t xml:space="preserve"> </w:t>
      </w:r>
      <w:r>
        <w:t xml:space="preserve">A Q1 restructuring (~20% staffing reduction) drives a **~$65M annualized run-rate cost cut**; management targets</w:t>
      </w:r>
      <w:r>
        <w:t xml:space="preserve"> </w:t>
      </w:r>
      <w:r>
        <w:rPr>
          <w:b/>
          <w:bCs/>
        </w:rPr>
        <w:t xml:space="preserve">200+ bps of additional margin improvement</w:t>
      </w:r>
      <w:r>
        <w:t xml:space="preserve"> </w:t>
      </w:r>
      <w:r>
        <w:t xml:space="preserve">through ~2030.</w:t>
      </w:r>
    </w:p>
    <w:p>
      <w:pPr>
        <w:pStyle w:val="Compact"/>
        <w:numPr>
          <w:ilvl w:val="0"/>
          <w:numId w:val="1003"/>
        </w:numPr>
      </w:pPr>
      <w:r>
        <w:rPr>
          <w:b/>
          <w:bCs/>
        </w:rPr>
        <w:t xml:space="preserve">Land under towers:</w:t>
      </w:r>
      <w:r>
        <w:t xml:space="preserve"> </w:t>
      </w:r>
      <w:r>
        <w:t xml:space="preserve">Buying ground leases at returns above cost of capital; goal to move from</w:t>
      </w:r>
      <w:r>
        <w:t xml:space="preserve"> </w:t>
      </w:r>
      <w:r>
        <w:rPr>
          <w:b/>
          <w:bCs/>
        </w:rPr>
        <w:t xml:space="preserve">~30% to as much as 40%</w:t>
      </w:r>
      <w:r>
        <w:t xml:space="preserve"> </w:t>
      </w:r>
      <w:r>
        <w:t xml:space="preserve">ownership. Land purchases drove capex higher in Q1 (land interests $32M vs. $18M) — watch the capex run-rate.</w:t>
      </w:r>
    </w:p>
    <w:p>
      <w:pPr>
        <w:pStyle w:val="Compact"/>
        <w:numPr>
          <w:ilvl w:val="0"/>
          <w:numId w:val="1003"/>
        </w:numPr>
      </w:pPr>
      <w:r>
        <w:rPr>
          <w:b/>
          <w:bCs/>
        </w:rPr>
        <w:t xml:space="preserve">New growth optionality:</w:t>
      </w:r>
      <w:r>
        <w:t xml:space="preserve"> </w:t>
      </w:r>
      <w:r>
        <w:t xml:space="preserve">Early-stage</w:t>
      </w:r>
      <w:r>
        <w:t xml:space="preserve"> </w:t>
      </w:r>
      <w:r>
        <w:rPr>
          <w:b/>
          <w:bCs/>
        </w:rPr>
        <w:t xml:space="preserve">edge compute / data-center colocation</w:t>
      </w:r>
      <w:r>
        <w:t xml:space="preserve"> </w:t>
      </w:r>
      <w:r>
        <w:t xml:space="preserve">trials at its ~40,000 sites, potential</w:t>
      </w:r>
      <w:r>
        <w:t xml:space="preserve"> </w:t>
      </w:r>
      <w:r>
        <w:rPr>
          <w:b/>
          <w:bCs/>
        </w:rPr>
        <w:t xml:space="preserve">new-build tower</w:t>
      </w:r>
      <w:r>
        <w:t xml:space="preserve"> </w:t>
      </w:r>
      <w:r>
        <w:t xml:space="preserve">demand from carriers, and power-as-a-service. Management frames these as low-capital, opportunistic, and</w:t>
      </w:r>
      <w:r>
        <w:t xml:space="preserve"> </w:t>
      </w:r>
      <w:r>
        <w:rPr>
          <w:b/>
          <w:bCs/>
        </w:rPr>
        <w:t xml:space="preserve">second-half-2026 weighted</w:t>
      </w:r>
      <w:r>
        <w:t xml:space="preserve"> </w:t>
      </w:r>
      <w:r>
        <w:t xml:space="preserve">— any tangible traction would be a sentiment positive.</w:t>
      </w:r>
    </w:p>
    <w:p>
      <w:r>
        <w:pict>
          <v:rect style="width:0;height:1.5pt" o:hralign="center" o:hrstd="t" o:hr="t"/>
        </w:pict>
      </w:r>
    </w:p>
    <w:bookmarkEnd w:id="15"/>
    <w:bookmarkStart w:id="16" w:name="bottom-line--what-will-move-the-stock"/>
    <w:p>
      <w:pPr>
        <w:pStyle w:val="Heading2"/>
      </w:pPr>
      <w:r>
        <w:t xml:space="preserve">Bottom line — what will move the stock</w:t>
      </w:r>
    </w:p>
    <w:p>
      <w:pPr>
        <w:pStyle w:val="Compact"/>
        <w:numPr>
          <w:ilvl w:val="0"/>
          <w:numId w:val="1004"/>
        </w:numPr>
      </w:pPr>
      <w:r>
        <w:rPr>
          <w:b/>
          <w:bCs/>
        </w:rPr>
        <w:t xml:space="preserve">Guidance:</w:t>
      </w:r>
      <w:r>
        <w:t xml:space="preserve"> </w:t>
      </w:r>
      <w:r>
        <w:t xml:space="preserve">Reaffirm vs. raise on AFFO/share (~$4.59 mid) — a raise after the early close and buyback would be well received given the beaten-down stock.</w:t>
      </w:r>
    </w:p>
    <w:p>
      <w:pPr>
        <w:pStyle w:val="Compact"/>
        <w:numPr>
          <w:ilvl w:val="0"/>
          <w:numId w:val="1004"/>
        </w:numPr>
      </w:pPr>
      <w:r>
        <w:rPr>
          <w:b/>
          <w:bCs/>
        </w:rPr>
        <w:t xml:space="preserve">Dividend/buyback:</w:t>
      </w:r>
      <w:r>
        <w:t xml:space="preserve"> </w:t>
      </w:r>
      <w:r>
        <w:t xml:space="preserve">Any signal on the ~93% payout debate and how much of the $1B buyback has been executed.</w:t>
      </w:r>
    </w:p>
    <w:p>
      <w:pPr>
        <w:pStyle w:val="Compact"/>
        <w:numPr>
          <w:ilvl w:val="0"/>
          <w:numId w:val="1004"/>
        </w:numPr>
      </w:pPr>
      <w:r>
        <w:rPr>
          <w:b/>
          <w:bCs/>
        </w:rPr>
        <w:t xml:space="preserve">Organic growth cadence:</w:t>
      </w:r>
      <w:r>
        <w:t xml:space="preserve"> </w:t>
      </w:r>
      <w:r>
        <w:t xml:space="preserve">Evidence the "low point" is behind and 2H reacceleration is real (core leasing, carrier deployment of DISH/EchoStar spectrum).</w:t>
      </w:r>
    </w:p>
    <w:p>
      <w:pPr>
        <w:pStyle w:val="Compact"/>
        <w:numPr>
          <w:ilvl w:val="0"/>
          <w:numId w:val="1004"/>
        </w:numPr>
      </w:pPr>
      <w:r>
        <w:rPr>
          <w:b/>
          <w:bCs/>
        </w:rPr>
        <w:t xml:space="preserve">DISH:</w:t>
      </w:r>
      <w:r>
        <w:t xml:space="preserve"> </w:t>
      </w:r>
      <w:r>
        <w:t xml:space="preserve">Any litigation/settlement progress = optionality not in numbers.</w:t>
      </w:r>
    </w:p>
    <w:p>
      <w:pPr>
        <w:pStyle w:val="Compact"/>
        <w:numPr>
          <w:ilvl w:val="0"/>
          <w:numId w:val="1004"/>
        </w:numPr>
      </w:pPr>
      <w:r>
        <w:rPr>
          <w:b/>
          <w:bCs/>
        </w:rPr>
        <w:t xml:space="preserve">Execution proof:</w:t>
      </w:r>
      <w:r>
        <w:t xml:space="preserve"> </w:t>
      </w:r>
      <w:r>
        <w:t xml:space="preserve">Margin/cost progress, land-buying pace, and early edge/new-build traction validating the "best-in-class pure-play tower" narrative.</w:t>
      </w:r>
    </w:p>
    <w:p>
      <w:pPr>
        <w:pStyle w:val="FirstParagraph"/>
      </w:pPr>
      <w:r>
        <w:t xml:space="preserve">With the stock down ~14% YTD and ~19% off its June high, expectations appear subdued — leaving room for a relief move on a clean quarter, reaffirmed/raised guidance, and constructive capital-allocation commentary, while a growth or dividend disappointment could extend the underperformance versus AMT and SBAC.</w:t>
      </w:r>
    </w:p>
    <w:p>
      <w:pPr>
        <w:pStyle w:val="BodyText"/>
      </w:pPr>
      <w:r>
        <w:rPr>
          <w:i/>
          <w:iCs/>
        </w:rPr>
        <w:t xml:space="preserve">Note: Reported GAAP results will again include discontinued-operations/disposal-loss noise from the fiber business (owned through May 1); focus on continuing-operations tower metrics and AFFO.</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2026-07-22T00:47:00Z</dcterms:created>
  <dcterms:modified xsi:type="dcterms:W3CDTF">2026-07-22T00:47:00Z</dcterms:modified>
</cp:coreProperties>
</file>

<file path=docProps/custom.xml><?xml version="1.0" encoding="utf-8"?>
<Properties xmlns="http://schemas.openxmlformats.org/officeDocument/2006/custom-properties" xmlns:vt="http://schemas.openxmlformats.org/officeDocument/2006/docPropsVTypes"/>
</file>