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Let me read the REITweek conference transcript for the most recent management commentary before writing the preview.Good, no new info beyond what I have. I now have sufficient material to write a thorough, well-sourced preview.# Crown Castle (CCI) Q2 2026 Earnings Preview</w:t>
      </w:r>
    </w:p>
    <w:p>
      <w:pPr>
        <w:pStyle w:val="BodyText"/>
      </w:pPr>
      <w:r>
        <w:rPr>
          <w:b/>
          <w:bCs/>
        </w:rPr>
        <w:t xml:space="preserve">Report date:</w:t>
      </w:r>
      <w:r>
        <w:t xml:space="preserve"> </w:t>
      </w:r>
      <w:r>
        <w:t xml:space="preserve">Wednesday, July 22, 2026, after market close | Call at 5:00 p.m. ET</w:t>
      </w:r>
      <w:r>
        <w:t xml:space="preserve"> </w:t>
      </w:r>
      <w:r>
        <w:rPr>
          <w:b/>
          <w:bCs/>
        </w:rPr>
        <w:t xml:space="preserve">Last close (7/21/26):</w:t>
      </w:r>
      <w:r>
        <w:t xml:space="preserve"> </w:t>
      </w:r>
      <w:r>
        <w:t xml:space="preserve">~$76.22 (near 52-week low; stock down roughly 27% over the trailing year)</w:t>
      </w:r>
    </w:p>
    <w:p>
      <w:r>
        <w:pict>
          <v:rect style="width:0;height:1.5pt" o:hralign="center" o:hrstd="t" o:hr="t"/>
        </w:pict>
      </w:r>
    </w:p>
    <w:bookmarkStart w:id="9" w:name="Xa5755c3f8c39fe8fa47f4d149edac96480f6417"/>
    <w:p>
      <w:pPr>
        <w:pStyle w:val="Heading2"/>
      </w:pPr>
      <w:r>
        <w:t xml:space="preserve">1. The Big Picture: A Fundamentally Different Company Than a Year Ago</w:t>
      </w:r>
    </w:p>
    <w:p>
      <w:pPr>
        <w:pStyle w:val="FirstParagraph"/>
      </w:pPr>
      <w:r>
        <w:t xml:space="preserve">This is the first full quarterly report since Crown Castle completed its transformation into a pure-play U.S. tower company. On May 1, 2026, Crown Castle completed the sale of its fiber solutions business to Zayo Group Holdings and its small cells business to Arium Networks, an EQT Active Core Infrastructure fund, for $8.5 billion, or approximately $8.4 billion net of preliminary adjustments. Management framed this as the end of an era: "With the completion of the transactions, Crown Castle is now the only U.S. focused, large publicly traded pure-play tower company and is well positioned to become a best-in‑class operator in the world's strongest wireless market," said CEO Chris Hillabrant.</w:t>
      </w:r>
    </w:p>
    <w:p>
      <w:pPr>
        <w:pStyle w:val="BodyText"/>
      </w:pPr>
      <w:r>
        <w:t xml:space="preserve">Proceeds were earmarked as previously communicated: Crown Castle expected to use a portion of the sale proceeds to repurchase $1.0 billion of shares under a program approved effective May 1, 2026, and to reduce outstanding debt by more than</w:t>
      </w:r>
      <w:r>
        <w:t xml:space="preserve"> </w:t>
      </w:r>
      <m:oMath>
        <m:r>
          <m:t>7.0</m:t>
        </m:r>
        <m:r>
          <m:t>b</m:t>
        </m:r>
        <m:r>
          <m:t>i</m:t>
        </m:r>
        <m:r>
          <m:t>l</m:t>
        </m:r>
        <m:r>
          <m:t>l</m:t>
        </m:r>
        <m:r>
          <m:t>i</m:t>
        </m:r>
        <m:r>
          <m:t>o</m:t>
        </m:r>
        <m:r>
          <m:t>n</m:t>
        </m:r>
        <m:r>
          <m:rPr>
            <m:sty m:val="p"/>
          </m:rPr>
          <m:t>.</m:t>
        </m:r>
        <m:r>
          <m:t>T</m:t>
        </m:r>
        <m:r>
          <m:t>h</m:t>
        </m:r>
        <m:r>
          <m:t>e</m:t>
        </m:r>
        <m:r>
          <m:t>c</m:t>
        </m:r>
        <m:r>
          <m:t>o</m:t>
        </m:r>
        <m:r>
          <m:t>m</m:t>
        </m:r>
        <m:r>
          <m:t>p</m:t>
        </m:r>
        <m:r>
          <m:t>a</m:t>
        </m:r>
        <m:r>
          <m:t>n</m:t>
        </m:r>
        <m:r>
          <m:t>y</m:t>
        </m:r>
        <m:r>
          <m:t>a</m:t>
        </m:r>
        <m:r>
          <m:t>l</m:t>
        </m:r>
        <m:r>
          <m:t>s</m:t>
        </m:r>
        <m:r>
          <m:t>o</m:t>
        </m:r>
        <m:r>
          <m:t>r</m:t>
        </m:r>
        <m:r>
          <m:t>e</m:t>
        </m:r>
        <m:r>
          <m:t>f</m:t>
        </m:r>
        <m:r>
          <m:t>i</m:t>
        </m:r>
        <m:r>
          <m:t>n</m:t>
        </m:r>
        <m:r>
          <m:t>a</m:t>
        </m:r>
        <m:r>
          <m:t>n</m:t>
        </m:r>
        <m:r>
          <m:t>c</m:t>
        </m:r>
        <m:r>
          <m:t>e</m:t>
        </m:r>
        <m:r>
          <m:t>d</m:t>
        </m:r>
        <m:r>
          <m:t>i</m:t>
        </m:r>
        <m:r>
          <m:t>t</m:t>
        </m:r>
        <m:r>
          <m:t>s</m:t>
        </m:r>
        <m:r>
          <m:t>c</m:t>
        </m:r>
        <m:r>
          <m:t>r</m:t>
        </m:r>
        <m:r>
          <m:t>e</m:t>
        </m:r>
        <m:r>
          <m:t>d</m:t>
        </m:r>
        <m:r>
          <m:t>i</m:t>
        </m:r>
        <m:r>
          <m:t>t</m:t>
        </m:r>
        <m:r>
          <m:t>f</m:t>
        </m:r>
        <m:r>
          <m:t>a</m:t>
        </m:r>
        <m:r>
          <m:t>c</m:t>
        </m:r>
        <m:r>
          <m:t>i</m:t>
        </m:r>
        <m:r>
          <m:t>l</m:t>
        </m:r>
        <m:r>
          <m:t>i</m:t>
        </m:r>
        <m:r>
          <m:t>t</m:t>
        </m:r>
        <m:r>
          <m:t>y</m:t>
        </m:r>
        <m:r>
          <m:rPr>
            <m:sty m:val="p"/>
          </m:rPr>
          <m:t>,</m:t>
        </m:r>
        <m:r>
          <m:t>c</m:t>
        </m:r>
        <m:r>
          <m:t>l</m:t>
        </m:r>
        <m:r>
          <m:t>o</m:t>
        </m:r>
        <m:r>
          <m:t>s</m:t>
        </m:r>
        <m:r>
          <m:t>i</m:t>
        </m:r>
        <m:r>
          <m:t>n</m:t>
        </m:r>
        <m:r>
          <m:t>g</m:t>
        </m:r>
        <m:r>
          <m:t>a</m:t>
        </m:r>
        <m:r>
          <m:rPr>
            <m:sty m:val="p"/>
          </m:rPr>
          <m:t>*</m:t>
        </m:r>
        <m:r>
          <m:rPr>
            <m:sty m:val="p"/>
          </m:rPr>
          <m:t>*</m:t>
        </m:r>
      </m:oMath>
      <w:r>
        <w:t xml:space="preserve">4.5 billion revolving credit facility** to replace prior debt arrangements on the same day the sale closed — right-sizing liquidity for the smaller, standalone tower balance sheet.</w:t>
      </w:r>
    </w:p>
    <w:p>
      <w:pPr>
        <w:pStyle w:val="BodyText"/>
      </w:pPr>
      <w:r>
        <w:t xml:space="preserve">This will be</w:t>
      </w:r>
      <w:r>
        <w:t xml:space="preserve"> </w:t>
      </w:r>
      <w:r>
        <w:rPr>
          <w:b/>
          <w:bCs/>
        </w:rPr>
        <w:t xml:space="preserve">Q2's first full quarter as a pure tower REIT</w:t>
      </w:r>
      <w:r>
        <w:t xml:space="preserve">, the first quarter with the $1B buyback actually deployable, and the first quarter fully reflecting the lower, delevered interest expense run-rate.</w:t>
      </w:r>
    </w:p>
    <w:p>
      <w:r>
        <w:pict>
          <v:rect style="width:0;height:1.5pt" o:hralign="center" o:hrstd="t" o:hr="t"/>
        </w:pict>
      </w:r>
    </w:p>
    <w:bookmarkEnd w:id="9"/>
    <w:bookmarkStart w:id="10" w:name="Xc7e4bbeb50f278be139dcaae1c965dd65af7346"/>
    <w:p>
      <w:pPr>
        <w:pStyle w:val="Heading2"/>
      </w:pPr>
      <w:r>
        <w:t xml:space="preserve">2. The DISH Situation Has Escalated Sharply — This Is Now the Dominant Storyline</w:t>
      </w:r>
    </w:p>
    <w:p>
      <w:pPr>
        <w:pStyle w:val="FirstParagraph"/>
      </w:pPr>
      <w:r>
        <w:t xml:space="preserve">Since the Q1 call in April, the DISH saga has moved from a legal dispute into a full-blown bankruptcy fight, and it is likely to be the single most important topic on tomorrow's call:</w:t>
      </w:r>
    </w:p>
    <w:p>
      <w:pPr>
        <w:pStyle w:val="Compact"/>
        <w:numPr>
          <w:ilvl w:val="0"/>
          <w:numId w:val="1001"/>
        </w:numPr>
      </w:pPr>
      <w:r>
        <w:rPr>
          <w:b/>
          <w:bCs/>
        </w:rPr>
        <w:t xml:space="preserve">FCC escrow win (May 12, 2026):</w:t>
      </w:r>
      <w:r>
        <w:t xml:space="preserve"> </w:t>
      </w:r>
      <w:r>
        <w:t xml:space="preserve">Regulators approved EchoStar's</w:t>
      </w:r>
      <w:r>
        <w:t xml:space="preserve"> </w:t>
      </w:r>
      <w:r>
        <w:t xml:space="preserve">$42.6 billion spectrum sales to AT&amp;T/SpaceX, but conditioned approval on EchoStar setting aside **$</w:t>
      </w:r>
      <w:r>
        <w:t xml:space="preserve">2.4 billion in escrow** against qualifying claims from tower companies and other creditors — a direct result of lobbying by Crown Castle and the Wireless Infrastructure Association. On the June 2 REITweek conference, CEO Chris Hillabrant called this "somewhat of a floor," while cautioning "you still need to have a judgment against DISH in order to tap into that."</w:t>
      </w:r>
    </w:p>
    <w:p>
      <w:pPr>
        <w:pStyle w:val="Compact"/>
        <w:numPr>
          <w:ilvl w:val="0"/>
          <w:numId w:val="1001"/>
        </w:numPr>
      </w:pPr>
      <w:r>
        <w:rPr>
          <w:b/>
          <w:bCs/>
        </w:rPr>
        <w:t xml:space="preserve">DISH Wireless Chapter 11 filing (June 30, 2026):</w:t>
      </w:r>
      <w:r>
        <w:t xml:space="preserve"> </w:t>
      </w:r>
      <w:r>
        <w:t xml:space="preserve">DISH filed for a prepackaged Chapter 11, aiming to exit by end of Q3 2026, with EchoStar serving as stalking-horse bidder for DISH Wireless's network assets at a</w:t>
      </w:r>
      <w:r>
        <w:t xml:space="preserve"> </w:t>
      </w:r>
      <w:r>
        <w:rPr>
          <w:b/>
          <w:bCs/>
        </w:rPr>
        <w:t xml:space="preserve">~$300 million floor price</w:t>
      </w:r>
      <w:r>
        <w:t xml:space="preserve"> </w:t>
      </w:r>
      <w:r>
        <w:t xml:space="preserve">(bid deadline Aug 10, auction Aug 12 if needed).</w:t>
      </w:r>
    </w:p>
    <w:p>
      <w:pPr>
        <w:pStyle w:val="Compact"/>
        <w:numPr>
          <w:ilvl w:val="0"/>
          <w:numId w:val="1001"/>
        </w:numPr>
      </w:pPr>
      <w:r>
        <w:rPr>
          <w:b/>
          <w:bCs/>
        </w:rPr>
        <w:t xml:space="preserve">Crown Castle's claim:</w:t>
      </w:r>
      <w:r>
        <w:t xml:space="preserve"> </w:t>
      </w:r>
      <w:r>
        <w:t xml:space="preserve">CCI has filed the</w:t>
      </w:r>
      <w:r>
        <w:t xml:space="preserve"> </w:t>
      </w:r>
      <w:r>
        <w:rPr>
          <w:b/>
          <w:bCs/>
        </w:rPr>
        <w:t xml:space="preserve">largest single unsecured claim in the case, at $3.5 billion</w:t>
      </w:r>
      <w:r>
        <w:t xml:space="preserve"> </w:t>
      </w:r>
      <w:r>
        <w:t xml:space="preserve">(American Tower filed $2.0 billion; combined tower-industry claims exceed $5.5 billion, with total industry exposure estimated at $7–10 billion by a Brattle Group study for WIA).</w:t>
      </w:r>
    </w:p>
    <w:p>
      <w:pPr>
        <w:pStyle w:val="Compact"/>
        <w:numPr>
          <w:ilvl w:val="0"/>
          <w:numId w:val="1001"/>
        </w:numPr>
      </w:pPr>
      <w:r>
        <w:rPr>
          <w:b/>
          <w:bCs/>
        </w:rPr>
        <w:t xml:space="preserve">Court win on discovery (July 10, 2026):</w:t>
      </w:r>
      <w:r>
        <w:t xml:space="preserve"> </w:t>
      </w:r>
      <w:r>
        <w:t xml:space="preserve">A federal bankruptcy judge ruled that tower creditors, including Crown Castle and American Tower, are entitled to conduct discovery — investigating alleged "secret intercompany transactions" that moved billions in assets out of DISH Wireless before the filing — before any asset auction can proceed. This was a setback for DISH's fast-track exit timeline.</w:t>
      </w:r>
    </w:p>
    <w:p>
      <w:pPr>
        <w:pStyle w:val="Compact"/>
        <w:numPr>
          <w:ilvl w:val="0"/>
          <w:numId w:val="1001"/>
        </w:numPr>
      </w:pPr>
      <w:r>
        <w:rPr>
          <w:b/>
          <w:bCs/>
        </w:rPr>
        <w:t xml:space="preserve">Next hearing: July 23, 2026 — the day immediately after CCI's earnings call.</w:t>
      </w:r>
      <w:r>
        <w:t xml:space="preserve"> </w:t>
      </w:r>
      <w:r>
        <w:t xml:space="preserve">Expect management to be asked directly about the discovery fight, the size/timing of any eventual recovery, and interplay with the $2.4B FCC escrow.</w:t>
      </w:r>
    </w:p>
    <w:p>
      <w:pPr>
        <w:pStyle w:val="FirstParagraph"/>
      </w:pPr>
      <w:r>
        <w:t xml:space="preserve">On the Q1 call, management had already been telegraphing the fight: after DISH's January default, "we exercised our right to terminate the agreement, and we are seeking to recover the remaining payments DISH owed for the terms of the contract," and the company amended its litigation to add a breach-of-contract claim and a claim against EchoStar directly. CEO Hillabrant cautioned that a legal outcome "is going to take at least a year," and that timing of any resolution "is still very much an unknown." Investors should expect similarly guarded language tomorrow, but with much more specificity now that a bankruptcy docket and hearing calendar exist. This overhang — plus its ambiguity — is a leading candidate explanation for the stock's slide from ~</w:t>
      </w:r>
      <m:oMath>
        <m:r>
          <m:t>94</m:t>
        </m:r>
        <m:r>
          <m:t>i</m:t>
        </m:r>
        <m:r>
          <m:t>n</m:t>
        </m:r>
        <m:r>
          <m:t>e</m:t>
        </m:r>
        <m:r>
          <m:t>a</m:t>
        </m:r>
        <m:r>
          <m:t>r</m:t>
        </m:r>
        <m:r>
          <m:t>l</m:t>
        </m:r>
        <m:r>
          <m:t>y</m:t>
        </m:r>
        <m:r>
          <m:t>J</m:t>
        </m:r>
        <m:r>
          <m:t>u</m:t>
        </m:r>
        <m:r>
          <m:t>n</m:t>
        </m:r>
        <m:r>
          <m:t>e</m:t>
        </m:r>
        <m:r>
          <m:t>t</m:t>
        </m:r>
        <m:r>
          <m:t>o</m:t>
        </m:r>
        <m:r>
          <m:t>t</m:t>
        </m:r>
        <m:r>
          <m:t>h</m:t>
        </m:r>
        <m:r>
          <m:t>e</m:t>
        </m:r>
        <m:r>
          <m:t>m</m:t>
        </m:r>
        <m:r>
          <m:t>i</m:t>
        </m:r>
        <m:r>
          <m:t>d</m:t>
        </m:r>
        <m:r>
          <m:rPr>
            <m:sty m:val="p"/>
          </m:rPr>
          <m:t>−</m:t>
        </m:r>
      </m:oMath>
      <w:r>
        <w:t xml:space="preserve">70s by mid-July.</w:t>
      </w:r>
    </w:p>
    <w:p>
      <w:r>
        <w:pict>
          <v:rect style="width:0;height:1.5pt" o:hralign="center" o:hrstd="t" o:hr="t"/>
        </w:pict>
      </w:r>
    </w:p>
    <w:bookmarkEnd w:id="10"/>
    <w:bookmarkStart w:id="11" w:name="Xceac053be6148a2bf0245e5e4a3ed692ce59003"/>
    <w:p>
      <w:pPr>
        <w:pStyle w:val="Heading2"/>
      </w:pPr>
      <w:r>
        <w:t xml:space="preserve">3. What Guidance Says Heading Into the Print</w:t>
      </w:r>
    </w:p>
    <w:p>
      <w:pPr>
        <w:pStyle w:val="FirstParagraph"/>
      </w:pPr>
      <w:r>
        <w:t xml:space="preserve">Full-year 2026 guidance has been raised once (for faster-than-expected close of the fiber/small cell sale) but the underlying operating outlook is</w:t>
      </w:r>
      <w:r>
        <w:t xml:space="preserve"> </w:t>
      </w:r>
      <w:r>
        <w:rPr>
          <w:b/>
          <w:bCs/>
        </w:rPr>
        <w:t xml:space="preserve">unchanged</w:t>
      </w:r>
      <w:r>
        <w:t xml:space="preserve"> </w:t>
      </w:r>
      <w:r>
        <w:t xml:space="preserve">since February: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 (FY2026 outlook, continuing ops)</w:t>
            </w:r>
          </w:p>
        </w:tc>
        <w:tc>
          <w:tcPr/>
          <w:p>
            <w:pPr>
              <w:pStyle w:val="Compact"/>
            </w:pPr>
            <w:r>
              <w:t xml:space="preserve">Current (as of May 1, 2026)</w:t>
            </w:r>
          </w:p>
        </w:tc>
      </w:tr>
      <w:tr>
        <w:tc>
          <w:tcPr/>
          <w:p>
            <w:pPr>
              <w:pStyle w:val="Compact"/>
            </w:pPr>
            <w:r>
              <w:t xml:space="preserve">Site rental revenues</w:t>
            </w:r>
          </w:p>
        </w:tc>
        <w:tc>
          <w:tcPr/>
          <w:p>
            <w:pPr>
              <w:pStyle w:val="Compact"/>
            </w:pPr>
            <w:r>
              <w:t xml:space="preserve">$3,828M – $3,873M</w:t>
            </w:r>
          </w:p>
        </w:tc>
      </w:tr>
      <w:tr>
        <w:tc>
          <w:tcPr/>
          <w:p>
            <w:pPr>
              <w:pStyle w:val="Compact"/>
            </w:pPr>
            <w:r>
              <w:t xml:space="preserve">Adjusted EBITDA</w:t>
            </w:r>
          </w:p>
        </w:tc>
        <w:tc>
          <w:tcPr/>
          <w:p>
            <w:pPr>
              <w:pStyle w:val="Compact"/>
            </w:pPr>
            <w:r>
              <w:t xml:space="preserve">$2,665M – $2,715M</w:t>
            </w:r>
          </w:p>
        </w:tc>
      </w:tr>
      <w:tr>
        <w:tc>
          <w:tcPr/>
          <w:p>
            <w:pPr>
              <w:pStyle w:val="Compact"/>
            </w:pPr>
            <w:r>
              <w:t xml:space="preserve">AFFO</w:t>
            </w:r>
          </w:p>
        </w:tc>
        <w:tc>
          <w:tcPr/>
          <w:p>
            <w:pPr>
              <w:pStyle w:val="Compact"/>
            </w:pPr>
            <w:r>
              <w:t xml:space="preserve">$1,945M – $1,995M</w:t>
            </w:r>
          </w:p>
        </w:tc>
      </w:tr>
      <w:tr>
        <w:tc>
          <w:tcPr/>
          <w:p>
            <w:pPr>
              <w:pStyle w:val="Compact"/>
            </w:pPr>
            <w:r>
              <w:t xml:space="preserve">AFFO per share</w:t>
            </w:r>
          </w:p>
        </w:tc>
        <w:tc>
          <w:tcPr/>
          <w:p>
            <w:pPr>
              <w:pStyle w:val="Compact"/>
            </w:pPr>
            <w:r>
              <w:t xml:space="preserve">$4.53 – $4.65</w:t>
            </w:r>
          </w:p>
        </w:tc>
      </w:tr>
      <w:tr>
        <w:tc>
          <w:tcPr/>
          <w:p>
            <w:pPr>
              <w:pStyle w:val="Compact"/>
            </w:pPr>
            <w:r>
              <w:t xml:space="preserve">Net income</w:t>
            </w:r>
          </w:p>
        </w:tc>
        <w:tc>
          <w:tcPr/>
          <w:p>
            <w:pPr>
              <w:pStyle w:val="Compact"/>
            </w:pPr>
            <w:r>
              <w:t xml:space="preserve">$690M – $970M</w:t>
            </w:r>
          </w:p>
        </w:tc>
      </w:tr>
      <w:tr>
        <w:tc>
          <w:tcPr/>
          <w:p>
            <w:pPr>
              <w:pStyle w:val="Compact"/>
            </w:pPr>
            <w:r>
              <w:t xml:space="preserve">Discretionary CapEx</w:t>
            </w:r>
          </w:p>
        </w:tc>
        <w:tc>
          <w:tcPr/>
          <w:p>
            <w:pPr>
              <w:pStyle w:val="Compact"/>
            </w:pPr>
            <w:r>
              <w:t xml:space="preserve">$150M – $250M</w:t>
            </w:r>
          </w:p>
        </w:tc>
      </w:tr>
    </w:tbl>
    <w:p>
      <w:pPr>
        <w:pStyle w:val="BodyText"/>
      </w:pPr>
      <w:r>
        <w:t xml:space="preserve">Key building blocks investors should track for confirmation in Q2:</w:t>
      </w:r>
    </w:p>
    <w:p>
      <w:pPr>
        <w:pStyle w:val="Compact"/>
        <w:numPr>
          <w:ilvl w:val="0"/>
          <w:numId w:val="1002"/>
        </w:numPr>
      </w:pPr>
      <w:r>
        <w:rPr>
          <w:b/>
          <w:bCs/>
        </w:rPr>
        <w:t xml:space="preserve">Organic growth:</w:t>
      </w:r>
      <w:r>
        <w:t xml:space="preserve"> </w:t>
      </w:r>
      <w:r>
        <w:t xml:space="preserve">Q1 organic contribution to site rental billings (ex-Sprint/DISH impacts) was</w:t>
      </w:r>
      <w:r>
        <w:t xml:space="preserve"> </w:t>
      </w:r>
      <w:r>
        <w:rPr>
          <w:b/>
          <w:bCs/>
        </w:rPr>
        <w:t xml:space="preserve">3.1%</w:t>
      </w:r>
      <w:r>
        <w:t xml:space="preserve"> </w:t>
      </w:r>
      <w:r>
        <w:t xml:space="preserve">($30M), rising to 3.3% excluding DISH from the prior-year base — below the full-year outlook midpoint of 3.5%. Management called Q1 the</w:t>
      </w:r>
      <w:r>
        <w:t xml:space="preserve"> </w:t>
      </w:r>
      <w:r>
        <w:rPr>
          <w:b/>
          <w:bCs/>
        </w:rPr>
        <w:t xml:space="preserve">low point</w:t>
      </w:r>
      <w:r>
        <w:t xml:space="preserve"> </w:t>
      </w:r>
      <w:r>
        <w:t xml:space="preserve">for the year and guided to a "second-half loaded" acceleration driven by new colocations, amendments, expanded service offerings, and early-stage new revenue streams (edge compute, potential new tower builds). At the June REITweek conference, Hillabrant reaffirmed: "we do think this is the low watermark in terms of growth… we see it as a low watermark and with additional upside opportunity." Watch closely whether Q2 shows the promised inflection.</w:t>
      </w:r>
    </w:p>
    <w:p>
      <w:pPr>
        <w:pStyle w:val="Compact"/>
        <w:numPr>
          <w:ilvl w:val="0"/>
          <w:numId w:val="1002"/>
        </w:numPr>
      </w:pPr>
      <w:r>
        <w:rPr>
          <w:b/>
          <w:bCs/>
        </w:rPr>
        <w:t xml:space="preserve">DISH/Sprint drag:</w:t>
      </w:r>
      <w:r>
        <w:t xml:space="preserve"> </w:t>
      </w:r>
      <w:r>
        <w:t xml:space="preserve">Full-year DISH terminations (</w:t>
      </w:r>
      <m:oMath>
        <m:r>
          <m:t>220</m:t>
        </m:r>
        <m:r>
          <m:t>M</m:t>
        </m:r>
        <m:r>
          <m:rPr>
            <m:sty m:val="p"/>
          </m:rPr>
          <m:t>)</m:t>
        </m:r>
        <m:r>
          <m:t>a</m:t>
        </m:r>
        <m:r>
          <m:t>n</m:t>
        </m:r>
        <m:r>
          <m:t>d</m:t>
        </m:r>
        <m:r>
          <m:t>S</m:t>
        </m:r>
        <m:r>
          <m:t>p</m:t>
        </m:r>
        <m:r>
          <m:t>r</m:t>
        </m:r>
        <m:r>
          <m:t>i</m:t>
        </m:r>
        <m:r>
          <m:t>n</m:t>
        </m:r>
        <m:r>
          <m:t>t</m:t>
        </m:r>
        <m:r>
          <m:t>c</m:t>
        </m:r>
        <m:r>
          <m:t>a</m:t>
        </m:r>
        <m:r>
          <m:t>n</m:t>
        </m:r>
        <m:r>
          <m:t>c</m:t>
        </m:r>
        <m:r>
          <m:t>e</m:t>
        </m:r>
        <m:r>
          <m:t>l</m:t>
        </m:r>
        <m:r>
          <m:t>l</m:t>
        </m:r>
        <m:r>
          <m:t>a</m:t>
        </m:r>
        <m:r>
          <m:t>t</m:t>
        </m:r>
        <m:r>
          <m:t>i</m:t>
        </m:r>
        <m:r>
          <m:t>o</m:t>
        </m:r>
        <m:r>
          <m:t>n</m:t>
        </m:r>
        <m:r>
          <m:t>s</m:t>
        </m:r>
        <m:r>
          <m:rPr>
            <m:sty m:val="p"/>
          </m:rPr>
          <m:t>(</m:t>
        </m:r>
      </m:oMath>
      <w:r>
        <w:t xml:space="preserve">20M) are baked into guidance as a</w:t>
      </w:r>
      <w:r>
        <w:t xml:space="preserve"> </w:t>
      </w:r>
      <w:r>
        <w:rPr>
          <w:b/>
          <w:bCs/>
        </w:rPr>
        <w:t xml:space="preserve">$240 million</w:t>
      </w:r>
      <w:r>
        <w:t xml:space="preserve"> </w:t>
      </w:r>
      <w:r>
        <w:t xml:space="preserve">headwind to site rental revenue — a known, quantified drag rather than a surprise.</w:t>
      </w:r>
    </w:p>
    <w:p>
      <w:pPr>
        <w:pStyle w:val="Compact"/>
        <w:numPr>
          <w:ilvl w:val="0"/>
          <w:numId w:val="1002"/>
        </w:numPr>
      </w:pPr>
      <w:r>
        <w:rPr>
          <w:b/>
          <w:bCs/>
        </w:rPr>
        <w:t xml:space="preserve">Cost/margin program:</w:t>
      </w:r>
      <w:r>
        <w:t xml:space="preserve"> </w:t>
      </w:r>
      <w:r>
        <w:t xml:space="preserve">The Q1 restructuring delivered an anticipated</w:t>
      </w:r>
      <w:r>
        <w:t xml:space="preserve"> </w:t>
      </w:r>
      <w:r>
        <w:rPr>
          <w:b/>
          <w:bCs/>
        </w:rPr>
        <w:t xml:space="preserve">$65 million</w:t>
      </w:r>
      <w:r>
        <w:t xml:space="preserve"> </w:t>
      </w:r>
      <w:r>
        <w:t xml:space="preserve">annualized run-rate cost reduction; CFO Sunit Patel indicated a longer-term ambition of "well over 200 basis points" of further margin improvement over the next several years, on top of what's already been executed.</w:t>
      </w:r>
    </w:p>
    <w:p>
      <w:pPr>
        <w:pStyle w:val="Compact"/>
        <w:numPr>
          <w:ilvl w:val="0"/>
          <w:numId w:val="1002"/>
        </w:numPr>
      </w:pPr>
      <w:r>
        <w:rPr>
          <w:b/>
          <w:bCs/>
        </w:rPr>
        <w:t xml:space="preserve">Land ownership under towers:</w:t>
      </w:r>
      <w:r>
        <w:t xml:space="preserve"> </w:t>
      </w:r>
      <w:r>
        <w:t xml:space="preserve">CCI currently owns land under</w:t>
      </w:r>
      <w:r>
        <w:t xml:space="preserve"> </w:t>
      </w:r>
      <w:r>
        <w:rPr>
          <w:b/>
          <w:bCs/>
        </w:rPr>
        <w:t xml:space="preserve">~30%</w:t>
      </w:r>
      <w:r>
        <w:t xml:space="preserve"> </w:t>
      </w:r>
      <w:r>
        <w:t xml:space="preserve">of its towers versus target of 30–40% over time; Q1 land-interest purchases rose to $32M (from $18M in Q1 2025), and CapEx guidance embeds continued acceleration here as a structural margin lever versus AMT/SBAC, who own more land.</w:t>
      </w:r>
    </w:p>
    <w:p>
      <w:pPr>
        <w:pStyle w:val="Compact"/>
        <w:numPr>
          <w:ilvl w:val="0"/>
          <w:numId w:val="1002"/>
        </w:numPr>
      </w:pPr>
      <w:r>
        <w:rPr>
          <w:b/>
          <w:bCs/>
        </w:rPr>
        <w:t xml:space="preserve">Capital allocation:</w:t>
      </w:r>
      <w:r>
        <w:t xml:space="preserve"> </w:t>
      </w:r>
      <w:r>
        <w:t xml:space="preserve">Following the May 1 close, the company plans to allocate</w:t>
      </w:r>
      <w:r>
        <w:t xml:space="preserve"> </w:t>
      </w:r>
      <w:r>
        <w:rPr>
          <w:b/>
          <w:bCs/>
        </w:rPr>
        <w:t xml:space="preserve">~</w:t>
      </w:r>
      <m:oMath>
        <m:r>
          <m:t>1</m:t>
        </m:r>
        <m:r>
          <m:t>b</m:t>
        </m:r>
        <m:r>
          <m:t>i</m:t>
        </m:r>
        <m:r>
          <m:t>l</m:t>
        </m:r>
        <m:r>
          <m:t>l</m:t>
        </m:r>
        <m:r>
          <m:t>i</m:t>
        </m:r>
        <m:r>
          <m:t>o</m:t>
        </m:r>
        <m:r>
          <m:t>n</m:t>
        </m:r>
        <m:r>
          <m:t>t</m:t>
        </m:r>
        <m:r>
          <m:t>o</m:t>
        </m:r>
        <m:r>
          <m:t>b</m:t>
        </m:r>
        <m:r>
          <m:t>u</m:t>
        </m:r>
        <m:r>
          <m:t>y</m:t>
        </m:r>
        <m:r>
          <m:t>b</m:t>
        </m:r>
        <m:r>
          <m:t>a</m:t>
        </m:r>
        <m:r>
          <m:t>c</m:t>
        </m:r>
        <m:r>
          <m:t>k</m:t>
        </m:r>
        <m:r>
          <m:t>s</m:t>
        </m:r>
        <m:r>
          <m:rPr>
            <m:sty m:val="p"/>
          </m:rPr>
          <m:t>*</m:t>
        </m:r>
        <m:r>
          <m:rPr>
            <m:sty m:val="p"/>
          </m:rPr>
          <m:t>*</m:t>
        </m:r>
        <m:r>
          <m:t>a</m:t>
        </m:r>
        <m:r>
          <m:t>n</m:t>
        </m:r>
        <m:r>
          <m:t>d</m:t>
        </m:r>
        <m:r>
          <m:rPr>
            <m:sty m:val="p"/>
          </m:rPr>
          <m:t>*</m:t>
        </m:r>
        <m:r>
          <m:rPr>
            <m:sty m:val="p"/>
          </m:rPr>
          <m:t>*</m:t>
        </m:r>
        <m:r>
          <m:t> </m:t>
        </m:r>
      </m:oMath>
      <w:r>
        <w:rPr>
          <w:b/>
          <w:bCs/>
        </w:rPr>
        <w:t xml:space="preserve">7 billion to debt repayment</w:t>
      </w:r>
      <w:r>
        <w:t xml:space="preserve">, targeting leverage of</w:t>
      </w:r>
      <w:r>
        <w:t xml:space="preserve"> </w:t>
      </w:r>
      <w:r>
        <w:rPr>
          <w:b/>
          <w:bCs/>
        </w:rPr>
        <w:t xml:space="preserve">6.0x–6.5x</w:t>
      </w:r>
      <w:r>
        <w:t xml:space="preserve">. The dividend was held flat at</w:t>
      </w:r>
      <w:r>
        <w:t xml:space="preserve"> </w:t>
      </w:r>
      <m:oMath>
        <m:r>
          <m:t>1.0625</m:t>
        </m:r>
        <m:r>
          <m:rPr>
            <m:sty m:val="p"/>
          </m:rPr>
          <m:t>/</m:t>
        </m:r>
        <m:r>
          <m:t>s</m:t>
        </m:r>
        <m:r>
          <m:t>h</m:t>
        </m:r>
        <m:r>
          <m:t>a</m:t>
        </m:r>
        <m:r>
          <m:t>r</m:t>
        </m:r>
        <m:r>
          <m:t>e</m:t>
        </m:r>
        <m:r>
          <m:t>q</m:t>
        </m:r>
        <m:r>
          <m:t>u</m:t>
        </m:r>
        <m:r>
          <m:t>a</m:t>
        </m:r>
        <m:r>
          <m:t>r</m:t>
        </m:r>
        <m:r>
          <m:t>t</m:t>
        </m:r>
        <m:r>
          <m:t>e</m:t>
        </m:r>
        <m:r>
          <m:t>r</m:t>
        </m:r>
        <m:r>
          <m:t>l</m:t>
        </m:r>
        <m:r>
          <m:t>y</m:t>
        </m:r>
        <m:r>
          <m:rPr>
            <m:sty m:val="p"/>
          </m:rPr>
          <m:t>(</m:t>
        </m:r>
      </m:oMath>
      <w:r>
        <w:t xml:space="preserve">4.25 annualized) despite a high near-term payout ratio — management argued AFFO growth and buybacks will bring the payout ratio back into target range over the next couple of years rather than cutting the dividend now.</w:t>
      </w:r>
    </w:p>
    <w:p>
      <w:r>
        <w:pict>
          <v:rect style="width:0;height:1.5pt" o:hralign="center" o:hrstd="t" o:hr="t"/>
        </w:pict>
      </w:r>
    </w:p>
    <w:bookmarkEnd w:id="11"/>
    <w:bookmarkStart w:id="12" w:name="X0ab06d292417431b7baf3efd0df0d726555d737"/>
    <w:p>
      <w:pPr>
        <w:pStyle w:val="Heading2"/>
      </w:pPr>
      <w:r>
        <w:t xml:space="preserve">4. Valuation and Sentiment Snapshot</w:t>
      </w:r>
    </w:p>
    <w:p>
      <w:pPr>
        <w:pStyle w:val="Compact"/>
        <w:numPr>
          <w:ilvl w:val="0"/>
          <w:numId w:val="1003"/>
        </w:numPr>
      </w:pPr>
      <w:r>
        <w:t xml:space="preserve">CCI shares recently touched a</w:t>
      </w:r>
      <w:r>
        <w:t xml:space="preserve"> </w:t>
      </w:r>
      <w:r>
        <w:rPr>
          <w:b/>
          <w:bCs/>
        </w:rPr>
        <w:t xml:space="preserve">52-week low near $75.93</w:t>
      </w:r>
      <w:r>
        <w:t xml:space="preserve">, having declined roughly 27% over the trailing year, and currently offer a dividend yield around</w:t>
      </w:r>
      <w:r>
        <w:t xml:space="preserve"> </w:t>
      </w:r>
      <w:r>
        <w:rPr>
          <w:b/>
          <w:bCs/>
        </w:rPr>
        <w:t xml:space="preserve">5.4–5.6%</w:t>
      </w:r>
      <w:r>
        <w:t xml:space="preserve"> </w:t>
      </w:r>
      <w:r>
        <w:t xml:space="preserve">— well above tower-sector historical norms, reflecting depressed valuation.</w:t>
      </w:r>
    </w:p>
    <w:p>
      <w:pPr>
        <w:pStyle w:val="Compact"/>
        <w:numPr>
          <w:ilvl w:val="0"/>
          <w:numId w:val="1003"/>
        </w:numPr>
      </w:pPr>
      <w:r>
        <w:t xml:space="preserve">At the current ~$76 share price against FY26 AFFO/share guidance of</w:t>
      </w:r>
      <w:r>
        <w:t xml:space="preserve"> </w:t>
      </w:r>
      <m:oMath>
        <m:r>
          <m:t>4.53</m:t>
        </m:r>
        <m:r>
          <m:rPr>
            <m:sty m:val="p"/>
          </m:rPr>
          <m:t>–</m:t>
        </m:r>
      </m:oMath>
      <w:r>
        <w:t xml:space="preserve">4.65, CCI trades around</w:t>
      </w:r>
      <w:r>
        <w:t xml:space="preserve"> </w:t>
      </w:r>
      <w:r>
        <w:rPr>
          <w:b/>
          <w:bCs/>
        </w:rPr>
        <w:t xml:space="preserve">16–17x forward AFFO</w:t>
      </w:r>
      <w:r>
        <w:t xml:space="preserve">, a discount to its own history and to peers, largely due to DISH-related uncertainty and broader REIT rate sensitivity.</w:t>
      </w:r>
    </w:p>
    <w:p>
      <w:pPr>
        <w:pStyle w:val="Compact"/>
        <w:numPr>
          <w:ilvl w:val="0"/>
          <w:numId w:val="1003"/>
        </w:numPr>
      </w:pPr>
      <w:r>
        <w:t xml:space="preserve">Sell-side sentiment is mixed: consensus ratings cluster around</w:t>
      </w:r>
      <w:r>
        <w:t xml:space="preserve"> </w:t>
      </w:r>
      <w:r>
        <w:rPr>
          <w:b/>
          <w:bCs/>
        </w:rPr>
        <w:t xml:space="preserve">Hold</w:t>
      </w:r>
      <w:r>
        <w:t xml:space="preserve">, with a wide spread between bulls and bears, and a consensus 12-month price target near</w:t>
      </w:r>
      <w:r>
        <w:t xml:space="preserve"> </w:t>
      </w:r>
      <w:r>
        <w:rPr>
          <w:b/>
          <w:bCs/>
        </w:rPr>
        <w:t xml:space="preserve">$99</w:t>
      </w:r>
      <w:r>
        <w:t xml:space="preserve">, implying meaningful potential upside if the DISH overhang resolves favorably and the "Crown 2.0" cost/growth plan executes.</w:t>
      </w:r>
    </w:p>
    <w:p>
      <w:pPr>
        <w:pStyle w:val="Compact"/>
        <w:numPr>
          <w:ilvl w:val="0"/>
          <w:numId w:val="1003"/>
        </w:numPr>
      </w:pPr>
      <w:r>
        <w:t xml:space="preserve">Peers AMT and SBAC have also pulled back over the same period (SBAC in particular saw sharp swings), suggesting some of the pressure is sector/rate-driven rather than CCI-specific, but DISH exposure differentiates CCI's setup (AMT holds the second-largest DISH claim at $2.0B; SBAC also has exposure).</w:t>
      </w:r>
    </w:p>
    <w:p>
      <w:r>
        <w:pict>
          <v:rect style="width:0;height:1.5pt" o:hralign="center" o:hrstd="t" o:hr="t"/>
        </w:pict>
      </w:r>
    </w:p>
    <w:bookmarkEnd w:id="12"/>
    <w:bookmarkStart w:id="13" w:name="X9fb88ca45b38a7aaf398defc888d4c2a8a63b4c"/>
    <w:p>
      <w:pPr>
        <w:pStyle w:val="Heading2"/>
      </w:pPr>
      <w:r>
        <w:t xml:space="preserve">5. What to Listen for on the Call</w:t>
      </w:r>
    </w:p>
    <w:p>
      <w:pPr>
        <w:pStyle w:val="Compact"/>
        <w:numPr>
          <w:ilvl w:val="0"/>
          <w:numId w:val="1004"/>
        </w:numPr>
      </w:pPr>
      <w:r>
        <w:rPr>
          <w:b/>
          <w:bCs/>
        </w:rPr>
        <w:t xml:space="preserve">DISH bankruptcy specifics:</w:t>
      </w:r>
      <w:r>
        <w:t xml:space="preserve"> </w:t>
      </w:r>
      <w:r>
        <w:t xml:space="preserve">Any color on the July 23 hearing, the discovery fight, potential timing/size of recovery, and whether management updates its "at least a year" framing on legal resolution given the accelerated bankruptcy timeline (DISH is targeting a Q3 2026 exit).</w:t>
      </w:r>
    </w:p>
    <w:p>
      <w:pPr>
        <w:pStyle w:val="Compact"/>
        <w:numPr>
          <w:ilvl w:val="0"/>
          <w:numId w:val="1004"/>
        </w:numPr>
      </w:pPr>
      <w:r>
        <w:rPr>
          <w:b/>
          <w:bCs/>
        </w:rPr>
        <w:t xml:space="preserve">Second-half organic growth trajectory:</w:t>
      </w:r>
      <w:r>
        <w:t xml:space="preserve"> </w:t>
      </w:r>
      <w:r>
        <w:t xml:space="preserve">Concrete evidence (not just commentary) that core leasing/colocation activity is inflecting upward from the 3.1%–3.3% Q1 print toward the 3.5% full-year target.</w:t>
      </w:r>
    </w:p>
    <w:p>
      <w:pPr>
        <w:pStyle w:val="Compact"/>
        <w:numPr>
          <w:ilvl w:val="0"/>
          <w:numId w:val="1004"/>
        </w:numPr>
      </w:pPr>
      <w:r>
        <w:rPr>
          <w:b/>
          <w:bCs/>
        </w:rPr>
        <w:t xml:space="preserve">Buyback execution and pace:</w:t>
      </w:r>
      <w:r>
        <w:t xml:space="preserve"> </w:t>
      </w:r>
      <w:r>
        <w:t xml:space="preserve">How much of the $1 billion authorization was executed in Q2, and updated leverage relative to the 6.0x–6.5x target.</w:t>
      </w:r>
    </w:p>
    <w:p>
      <w:pPr>
        <w:pStyle w:val="Compact"/>
        <w:numPr>
          <w:ilvl w:val="0"/>
          <w:numId w:val="1004"/>
        </w:numPr>
      </w:pPr>
      <w:r>
        <w:rPr>
          <w:b/>
          <w:bCs/>
        </w:rPr>
        <w:t xml:space="preserve">Margin/cost progress:</w:t>
      </w:r>
      <w:r>
        <w:t xml:space="preserve"> </w:t>
      </w:r>
      <w:r>
        <w:t xml:space="preserve">Incremental detail on the land-ownership ramp (progress toward 30–40%) and the "well over 200 bps" multi-year margin improvement plan.</w:t>
      </w:r>
    </w:p>
    <w:p>
      <w:pPr>
        <w:pStyle w:val="Compact"/>
        <w:numPr>
          <w:ilvl w:val="0"/>
          <w:numId w:val="1004"/>
        </w:numPr>
      </w:pPr>
      <w:r>
        <w:rPr>
          <w:b/>
          <w:bCs/>
        </w:rPr>
        <w:t xml:space="preserve">New growth optionality:</w:t>
      </w:r>
      <w:r>
        <w:t xml:space="preserve"> </w:t>
      </w:r>
      <w:r>
        <w:t xml:space="preserve">Updates on edge-compute trials, "turnkey" service packages requested by carriers, and any traction on new tower builds — all flagged as early-stage but potentially incremental to the growth algorithm.</w:t>
      </w:r>
    </w:p>
    <w:p>
      <w:pPr>
        <w:pStyle w:val="Compact"/>
        <w:numPr>
          <w:ilvl w:val="0"/>
          <w:numId w:val="1004"/>
        </w:numPr>
      </w:pPr>
      <w:r>
        <w:rPr>
          <w:b/>
          <w:bCs/>
        </w:rPr>
        <w:t xml:space="preserve">Guidance reaffirmation/revision:</w:t>
      </w:r>
      <w:r>
        <w:t xml:space="preserve"> </w:t>
      </w:r>
      <w:r>
        <w:t xml:space="preserve">Whether the unchanged FY26 outlook (last reiterated April 22 and adjusted only for interest expense timing on May 1) still holds, especially site rental revenue and AFFO/share.</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Crown Castle enters this print as a leaner, simplified, U.S.-only tower company with a clear (if still unproven) plan to close the structural gap with American Tower and SBA Communications on margins and land ownership, backed by a fresh $1B buyback and a delevered balance sheet. The operating story is steady-but-unspectacular (low-single-digit organic growth, second-half acceleration promised), which makes the</w:t>
      </w:r>
      <w:r>
        <w:t xml:space="preserve"> </w:t>
      </w:r>
      <w:r>
        <w:rPr>
          <w:b/>
          <w:bCs/>
        </w:rPr>
        <w:t xml:space="preserve">DISH Wireless bankruptcy</w:t>
      </w:r>
      <w:r>
        <w:t xml:space="preserve"> </w:t>
      </w:r>
      <w:r>
        <w:t xml:space="preserve">the real swing factor for sentiment — with a court hearing landing literally the day after earnings. Investors should expect the print itself to largely confirm already-known guidance, while the Q&amp;A on DISH recovery prospects and timing does the heavy lifting for how the stock trades afterward.</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2026-07-22T00:53:35Z</dcterms:created>
  <dcterms:modified xsi:type="dcterms:W3CDTF">2026-07-22T00:53:35Z</dcterms:modified>
</cp:coreProperties>
</file>

<file path=docProps/custom.xml><?xml version="1.0" encoding="utf-8"?>
<Properties xmlns="http://schemas.openxmlformats.org/officeDocument/2006/custom-properties" xmlns:vt="http://schemas.openxmlformats.org/officeDocument/2006/docPropsVTypes"/>
</file>