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334e76fab0474abfcfcb92c83783f6d84a72be3"/>
    <w:p>
      <w:pPr>
        <w:pStyle w:val="Heading1"/>
      </w:pPr>
      <w:r>
        <w:t xml:space="preserve">Crown Castle (NYSE: CCI) — 2Q26 Earnings Preview</w:t>
      </w:r>
    </w:p>
    <w:p>
      <w:pPr>
        <w:pStyle w:val="BlockText"/>
      </w:pPr>
      <w:r>
        <w:rPr>
          <w:b/>
          <w:bCs/>
        </w:rPr>
        <w:t xml:space="preserve">Timing clarification:</w:t>
      </w:r>
      <w:r>
        <w:t xml:space="preserve"> </w:t>
      </w:r>
      <w:r>
        <w:t xml:space="preserve">Crown Castle is scheduled to release results</w:t>
      </w:r>
      <w:r>
        <w:t xml:space="preserve"> </w:t>
      </w:r>
      <w:r>
        <w:rPr>
          <w:b/>
          <w:bCs/>
        </w:rPr>
        <w:t xml:space="preserve">today, Wednesday, July 22, 2026, after the market closes</w:t>
      </w:r>
      <w:r>
        <w:t xml:space="preserve">, followed by its earnings call at</w:t>
      </w:r>
      <w:r>
        <w:t xml:space="preserve"> </w:t>
      </w:r>
      <w:r>
        <w:rPr>
          <w:b/>
          <w:bCs/>
        </w:rPr>
        <w:t xml:space="preserve">5:00 p.m. ET</w:t>
      </w:r>
      <w:r>
        <w:t xml:space="preserve">. The event is not tomorrow.</w:t>
      </w:r>
    </w:p>
    <w:bookmarkStart w:id="9" w:name="executive-view"/>
    <w:p>
      <w:pPr>
        <w:pStyle w:val="Heading2"/>
      </w:pPr>
      <w:r>
        <w:t xml:space="preserve">Executive view</w:t>
      </w:r>
    </w:p>
    <w:p>
      <w:pPr>
        <w:pStyle w:val="FirstParagraph"/>
      </w:pPr>
      <w:r>
        <w:t xml:space="preserve">This report is less about whether Crown Castle beats a quarterly earnings estimate and more about whether the newly simplified company can establish a credible post-transaction earnings base.</w:t>
      </w:r>
    </w:p>
    <w:p>
      <w:pPr>
        <w:pStyle w:val="BodyText"/>
      </w:pPr>
      <w:r>
        <w:t xml:space="preserve">Since the first-quarter report, Crown Castle has completed the $8.5 billion sale of its fiber solutions and small-cell businesses, begun a planned balance-sheet restructuring, and transitioned into a pure-play U.S. tower company. Investors will therefore focus on four questions:</w:t>
      </w:r>
    </w:p>
    <w:p>
      <w:pPr>
        <w:pStyle w:val="Compact"/>
        <w:numPr>
          <w:ilvl w:val="0"/>
          <w:numId w:val="1001"/>
        </w:numPr>
      </w:pPr>
      <w:r>
        <w:rPr>
          <w:b/>
          <w:bCs/>
        </w:rPr>
        <w:t xml:space="preserve">Is underlying tower leasing stabilizing after slowing in the first quarter?</w:t>
      </w:r>
    </w:p>
    <w:p>
      <w:pPr>
        <w:pStyle w:val="Compact"/>
        <w:numPr>
          <w:ilvl w:val="0"/>
          <w:numId w:val="1001"/>
        </w:numPr>
      </w:pPr>
      <w:r>
        <w:rPr>
          <w:b/>
          <w:bCs/>
        </w:rPr>
        <w:t xml:space="preserve">How much of the promised debt repayment and $1 billion buyback has been completed?</w:t>
      </w:r>
    </w:p>
    <w:p>
      <w:pPr>
        <w:pStyle w:val="Compact"/>
        <w:numPr>
          <w:ilvl w:val="0"/>
          <w:numId w:val="1001"/>
        </w:numPr>
      </w:pPr>
      <w:r>
        <w:rPr>
          <w:b/>
          <w:bCs/>
        </w:rPr>
        <w:t xml:space="preserve">Can management maintain or raise its improved 2026 AFFO outlook?</w:t>
      </w:r>
    </w:p>
    <w:p>
      <w:pPr>
        <w:pStyle w:val="Compact"/>
        <w:numPr>
          <w:ilvl w:val="0"/>
          <w:numId w:val="1001"/>
        </w:numPr>
      </w:pPr>
      <w:r>
        <w:rPr>
          <w:b/>
          <w:bCs/>
        </w:rPr>
        <w:t xml:space="preserve">Does the post-sale business have a believable path back to organic and per-share growth?</w:t>
      </w:r>
    </w:p>
    <w:p>
      <w:pPr>
        <w:pStyle w:val="FirstParagraph"/>
      </w:pPr>
      <w:r>
        <w:t xml:space="preserve">The setup is cautious. CCI closed at</w:t>
      </w:r>
      <w:r>
        <w:t xml:space="preserve"> </w:t>
      </w:r>
      <w:r>
        <w:rPr>
          <w:b/>
          <w:bCs/>
        </w:rPr>
        <w:t xml:space="preserve">$76.22 on July 21</w:t>
      </w:r>
      <w:r>
        <w:t xml:space="preserve">, down approximately</w:t>
      </w:r>
      <w:r>
        <w:t xml:space="preserve"> </w:t>
      </w:r>
      <w:r>
        <w:rPr>
          <w:b/>
          <w:bCs/>
        </w:rPr>
        <w:t xml:space="preserve">14% from year-end 2025</w:t>
      </w:r>
      <w:r>
        <w:t xml:space="preserve"> </w:t>
      </w:r>
      <w:r>
        <w:t xml:space="preserve">and about</w:t>
      </w:r>
      <w:r>
        <w:t xml:space="preserve"> </w:t>
      </w:r>
      <w:r>
        <w:rPr>
          <w:b/>
          <w:bCs/>
        </w:rPr>
        <w:t xml:space="preserve">19% from its June high</w:t>
      </w:r>
      <w:r>
        <w:t xml:space="preserve">. At that price, the shares trade near</w:t>
      </w:r>
      <w:r>
        <w:t xml:space="preserve"> </w:t>
      </w:r>
      <w:r>
        <w:rPr>
          <w:b/>
          <w:bCs/>
        </w:rPr>
        <w:t xml:space="preserve">16.6 times</w:t>
      </w:r>
      <w:r>
        <w:t xml:space="preserve"> </w:t>
      </w:r>
      <w:r>
        <w:t xml:space="preserve">the midpoint of 2026 AFFO guidance and yield approximately</w:t>
      </w:r>
      <w:r>
        <w:t xml:space="preserve"> </w:t>
      </w:r>
      <w:r>
        <w:rPr>
          <w:b/>
          <w:bCs/>
        </w:rPr>
        <w:t xml:space="preserve">5.6%</w:t>
      </w:r>
      <w:r>
        <w:t xml:space="preserve">.</w:t>
      </w:r>
    </w:p>
    <w:p>
      <w:pPr>
        <w:pStyle w:val="BodyText"/>
      </w:pPr>
      <w:r>
        <w:t xml:space="preserve">That valuation leaves room for a positive reaction if management demonstrates clean execution, but the high dividend payout and subdued leasing outlook make the quality of guidance more important than a small quarterly beat.</w:t>
      </w:r>
    </w:p>
    <w:p>
      <w:r>
        <w:pict>
          <v:rect style="width:0;height:1.5pt" o:hralign="center" o:hrstd="t" o:hr="t"/>
        </w:pict>
      </w:r>
    </w:p>
    <w:bookmarkEnd w:id="9"/>
    <w:bookmarkStart w:id="11" w:name="the-starting-point"/>
    <w:p>
      <w:pPr>
        <w:pStyle w:val="Heading2"/>
      </w:pPr>
      <w:r>
        <w:t xml:space="preserve">The starting point</w:t>
      </w:r>
    </w:p>
    <w:bookmarkStart w:id="10" w:name="first-quarter-performance"/>
    <w:p>
      <w:pPr>
        <w:pStyle w:val="Heading3"/>
      </w:pPr>
      <w:r>
        <w:t xml:space="preserve">First-quarter performance</w:t>
      </w:r>
    </w:p>
    <w:p>
      <w:pPr>
        <w:pStyle w:val="FirstParagraph"/>
      </w:pPr>
      <w:r>
        <w:t xml:space="preserve">CCI’s first quarter showed a tower business still absorbing major tenant-related headwinds: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Year-over-year</w:t>
            </w:r>
          </w:p>
        </w:tc>
      </w:tr>
      <w:tr>
        <w:tc>
          <w:tcPr/>
          <w:p>
            <w:pPr>
              <w:pStyle w:val="Compact"/>
            </w:pPr>
            <w:r>
              <w:t xml:space="preserve">Site rental revenue</w:t>
            </w:r>
          </w:p>
        </w:tc>
        <w:tc>
          <w:tcPr/>
          <w:p>
            <w:pPr>
              <w:pStyle w:val="Compact"/>
              <w:jc w:val="right"/>
            </w:pPr>
            <w:r>
              <w:t xml:space="preserve">$961 million</w:t>
            </w:r>
          </w:p>
        </w:tc>
        <w:tc>
          <w:tcPr/>
          <w:p>
            <w:pPr>
              <w:pStyle w:val="Compact"/>
              <w:jc w:val="right"/>
            </w:pPr>
            <w:r>
              <w:t xml:space="preserve">-5%</w:t>
            </w:r>
          </w:p>
        </w:tc>
      </w:tr>
      <w:tr>
        <w:tc>
          <w:tcPr/>
          <w:p>
            <w:pPr>
              <w:pStyle w:val="Compact"/>
            </w:pPr>
            <w:r>
              <w:t xml:space="preserve">Adjusted EBITDA</w:t>
            </w:r>
          </w:p>
        </w:tc>
        <w:tc>
          <w:tcPr/>
          <w:p>
            <w:pPr>
              <w:pStyle w:val="Compact"/>
              <w:jc w:val="right"/>
            </w:pPr>
            <w:r>
              <w:t xml:space="preserve">$675 million</w:t>
            </w:r>
          </w:p>
        </w:tc>
        <w:tc>
          <w:tcPr/>
          <w:p>
            <w:pPr>
              <w:pStyle w:val="Compact"/>
              <w:jc w:val="right"/>
            </w:pPr>
            <w:r>
              <w:t xml:space="preserve">-7%</w:t>
            </w:r>
          </w:p>
        </w:tc>
      </w:tr>
      <w:tr>
        <w:tc>
          <w:tcPr/>
          <w:p>
            <w:pPr>
              <w:pStyle w:val="Compact"/>
            </w:pPr>
            <w:r>
              <w:t xml:space="preserve">AFFO</w:t>
            </w:r>
          </w:p>
        </w:tc>
        <w:tc>
          <w:tcPr/>
          <w:p>
            <w:pPr>
              <w:pStyle w:val="Compact"/>
              <w:jc w:val="right"/>
            </w:pPr>
            <w:r>
              <w:t xml:space="preserve">$446 million</w:t>
            </w:r>
          </w:p>
        </w:tc>
        <w:tc>
          <w:tcPr/>
          <w:p>
            <w:pPr>
              <w:pStyle w:val="Compact"/>
              <w:jc w:val="right"/>
            </w:pPr>
            <w:r>
              <w:t xml:space="preserve">-7%</w:t>
            </w:r>
          </w:p>
        </w:tc>
      </w:tr>
      <w:tr>
        <w:tc>
          <w:tcPr/>
          <w:p>
            <w:pPr>
              <w:pStyle w:val="Compact"/>
            </w:pPr>
            <w:r>
              <w:t xml:space="preserve">AFFO per share</w:t>
            </w:r>
          </w:p>
        </w:tc>
        <w:tc>
          <w:tcPr/>
          <w:p>
            <w:pPr>
              <w:pStyle w:val="Compact"/>
              <w:jc w:val="right"/>
            </w:pPr>
            <w:r>
              <w:t xml:space="preserve">$1.02</w:t>
            </w:r>
          </w:p>
        </w:tc>
        <w:tc>
          <w:tcPr/>
          <w:p>
            <w:pPr>
              <w:pStyle w:val="Compact"/>
              <w:jc w:val="right"/>
            </w:pPr>
            <w:r>
              <w:t xml:space="preserve">-7%</w:t>
            </w:r>
          </w:p>
        </w:tc>
      </w:tr>
      <w:tr>
        <w:tc>
          <w:tcPr/>
          <w:p>
            <w:pPr>
              <w:pStyle w:val="Compact"/>
            </w:pPr>
            <w:r>
              <w:t xml:space="preserve">Adjusted organic billings growth*</w:t>
            </w:r>
          </w:p>
        </w:tc>
        <w:tc>
          <w:tcPr/>
          <w:p>
            <w:pPr>
              <w:pStyle w:val="Compact"/>
              <w:jc w:val="right"/>
            </w:pPr>
            <w:r>
              <w:t xml:space="preserve">3.3%</w:t>
            </w:r>
          </w:p>
        </w:tc>
        <w:tc>
          <w:tcPr/>
          <w:p>
            <w:pPr>
              <w:pStyle w:val="Compact"/>
              <w:jc w:val="right"/>
            </w:pPr>
            <w:r>
              <w:t xml:space="preserve">Versus 3.9% in 1Q25</w:t>
            </w:r>
          </w:p>
        </w:tc>
      </w:tr>
    </w:tbl>
    <w:p>
      <w:pPr>
        <w:pStyle w:val="BodyText"/>
      </w:pPr>
      <w:r>
        <w:t xml:space="preserve">*Excluding Sprint cancellations and DISH terminations, and excluding DISH from the prior-year revenue base.</w:t>
      </w:r>
    </w:p>
    <w:p>
      <w:pPr>
        <w:pStyle w:val="BodyText"/>
      </w:pPr>
      <w:r>
        <w:t xml:space="preserve">Underlying growth was positive, but it was more than offset by:</w:t>
      </w:r>
    </w:p>
    <w:p>
      <w:pPr>
        <w:pStyle w:val="Compact"/>
        <w:numPr>
          <w:ilvl w:val="0"/>
          <w:numId w:val="1002"/>
        </w:numPr>
      </w:pPr>
      <w:r>
        <w:rPr>
          <w:b/>
          <w:bCs/>
        </w:rPr>
        <w:t xml:space="preserve">$49 million of DISH terminations</w:t>
      </w:r>
    </w:p>
    <w:p>
      <w:pPr>
        <w:pStyle w:val="Compact"/>
        <w:numPr>
          <w:ilvl w:val="0"/>
          <w:numId w:val="1002"/>
        </w:numPr>
      </w:pPr>
      <w:r>
        <w:rPr>
          <w:b/>
          <w:bCs/>
        </w:rPr>
        <w:t xml:space="preserve">$5 million of Sprint cancellations</w:t>
      </w:r>
    </w:p>
    <w:p>
      <w:pPr>
        <w:pStyle w:val="Compact"/>
        <w:numPr>
          <w:ilvl w:val="0"/>
          <w:numId w:val="1002"/>
        </w:numPr>
      </w:pPr>
      <w:r>
        <w:t xml:space="preserve">Lower straight-line revenue</w:t>
      </w:r>
    </w:p>
    <w:p>
      <w:pPr>
        <w:pStyle w:val="Compact"/>
        <w:numPr>
          <w:ilvl w:val="0"/>
          <w:numId w:val="1002"/>
        </w:numPr>
      </w:pPr>
      <w:r>
        <w:t xml:space="preserve">Lower prepaid-rent amortization</w:t>
      </w:r>
    </w:p>
    <w:p>
      <w:pPr>
        <w:pStyle w:val="FirstParagraph"/>
      </w:pPr>
      <w:r>
        <w:t xml:space="preserve">Management also said first-quarter AFFO benefited from favorable timing in repair and maintenance expense, sustaining capital spending and other non-labor costs. Some of those expenses were expected to move into later quarters, which creates a risk that otherwise solid second-quarter results look less impressive sequentially.</w:t>
      </w:r>
    </w:p>
    <w:p>
      <w:r>
        <w:pict>
          <v:rect style="width:0;height:1.5pt" o:hralign="center" o:hrstd="t" o:hr="t"/>
        </w:pict>
      </w:r>
    </w:p>
    <w:bookmarkEnd w:id="10"/>
    <w:bookmarkEnd w:id="11"/>
    <w:bookmarkStart w:id="12" w:name="current-2026-outlook"/>
    <w:p>
      <w:pPr>
        <w:pStyle w:val="Heading2"/>
      </w:pPr>
      <w:r>
        <w:t xml:space="preserve">Current 2026 outlook</w:t>
      </w:r>
    </w:p>
    <w:p>
      <w:pPr>
        <w:pStyle w:val="FirstParagraph"/>
      </w:pPr>
      <w:r>
        <w:t xml:space="preserve">After closing the fiber and small-cell sale on May 1—two months earlier than initially assumed—CCI raised its 2026 AFFO outlook because interest savings began sooner.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guidance</w:t>
            </w:r>
          </w:p>
        </w:tc>
        <w:tc>
          <w:tcPr/>
          <w:p>
            <w:pPr>
              <w:pStyle w:val="Compact"/>
              <w:jc w:val="right"/>
            </w:pPr>
            <w:r>
              <w:t xml:space="preserve">Current range</w:t>
            </w:r>
          </w:p>
        </w:tc>
        <w:tc>
          <w:tcPr/>
          <w:p>
            <w:pPr>
              <w:pStyle w:val="Compact"/>
              <w:jc w:val="right"/>
            </w:pPr>
            <w:r>
              <w:t xml:space="preserve">Midpoint</w:t>
            </w:r>
          </w:p>
        </w:tc>
      </w:tr>
      <w:tr>
        <w:tc>
          <w:tcPr/>
          <w:p>
            <w:pPr>
              <w:pStyle w:val="Compact"/>
            </w:pPr>
            <w:r>
              <w:t xml:space="preserve">Site rental revenue</w:t>
            </w:r>
          </w:p>
        </w:tc>
        <w:tc>
          <w:tcPr/>
          <w:p>
            <w:pPr>
              <w:pStyle w:val="Compact"/>
              <w:jc w:val="right"/>
            </w:pPr>
            <m:oMath>
              <m:r>
                <m:t>3.828</m:t>
              </m:r>
              <m:r>
                <m:rPr>
                  <m:sty m:val="p"/>
                </m:rPr>
                <m:t>–</m:t>
              </m:r>
            </m:oMath>
            <w:r>
              <w:t xml:space="preserve">3.873 billion</w:t>
            </w:r>
          </w:p>
        </w:tc>
        <w:tc>
          <w:tcPr/>
          <w:p>
            <w:pPr>
              <w:pStyle w:val="Compact"/>
              <w:jc w:val="right"/>
            </w:pPr>
            <w:r>
              <w:t xml:space="preserve">~$3.85 billion</w:t>
            </w:r>
          </w:p>
        </w:tc>
      </w:tr>
      <w:tr>
        <w:tc>
          <w:tcPr/>
          <w:p>
            <w:pPr>
              <w:pStyle w:val="Compact"/>
            </w:pPr>
            <w:r>
              <w:t xml:space="preserve">Adjusted EBITDA</w:t>
            </w:r>
          </w:p>
        </w:tc>
        <w:tc>
          <w:tcPr/>
          <w:p>
            <w:pPr>
              <w:pStyle w:val="Compact"/>
              <w:jc w:val="right"/>
            </w:pPr>
            <m:oMath>
              <m:r>
                <m:t>2.665</m:t>
              </m:r>
              <m:r>
                <m:rPr>
                  <m:sty m:val="p"/>
                </m:rPr>
                <m:t>–</m:t>
              </m:r>
            </m:oMath>
            <w:r>
              <w:t xml:space="preserve">2.715 billion</w:t>
            </w:r>
          </w:p>
        </w:tc>
        <w:tc>
          <w:tcPr/>
          <w:p>
            <w:pPr>
              <w:pStyle w:val="Compact"/>
              <w:jc w:val="right"/>
            </w:pPr>
            <w:r>
              <w:t xml:space="preserve">$2.69 billion</w:t>
            </w:r>
          </w:p>
        </w:tc>
      </w:tr>
      <w:tr>
        <w:tc>
          <w:tcPr/>
          <w:p>
            <w:pPr>
              <w:pStyle w:val="Compact"/>
            </w:pPr>
            <w:r>
              <w:t xml:space="preserve">AFFO</w:t>
            </w:r>
          </w:p>
        </w:tc>
        <w:tc>
          <w:tcPr/>
          <w:p>
            <w:pPr>
              <w:pStyle w:val="Compact"/>
              <w:jc w:val="right"/>
            </w:pPr>
            <m:oMath>
              <m:r>
                <m:t>1.945</m:t>
              </m:r>
              <m:r>
                <m:rPr>
                  <m:sty m:val="p"/>
                </m:rPr>
                <m:t>–</m:t>
              </m:r>
            </m:oMath>
            <w:r>
              <w:t xml:space="preserve">1.995 billion</w:t>
            </w:r>
          </w:p>
        </w:tc>
        <w:tc>
          <w:tcPr/>
          <w:p>
            <w:pPr>
              <w:pStyle w:val="Compact"/>
              <w:jc w:val="right"/>
            </w:pPr>
            <w:r>
              <w:t xml:space="preserve">$1.97 billion</w:t>
            </w:r>
          </w:p>
        </w:tc>
      </w:tr>
      <w:tr>
        <w:tc>
          <w:tcPr/>
          <w:p>
            <w:pPr>
              <w:pStyle w:val="Compact"/>
            </w:pPr>
            <w:r>
              <w:t xml:space="preserve">AFFO per share</w:t>
            </w:r>
          </w:p>
        </w:tc>
        <w:tc>
          <w:tcPr/>
          <w:p>
            <w:pPr>
              <w:pStyle w:val="Compact"/>
              <w:jc w:val="right"/>
            </w:pPr>
            <m:oMath>
              <m:r>
                <m:t>4.53</m:t>
              </m:r>
              <m:r>
                <m:rPr>
                  <m:sty m:val="p"/>
                </m:rPr>
                <m:t>–</m:t>
              </m:r>
            </m:oMath>
            <w:r>
              <w:t xml:space="preserve">4.65</w:t>
            </w:r>
          </w:p>
        </w:tc>
        <w:tc>
          <w:tcPr/>
          <w:p>
            <w:pPr>
              <w:pStyle w:val="Compact"/>
              <w:jc w:val="right"/>
            </w:pPr>
            <w:r>
              <w:t xml:space="preserve">$4.59</w:t>
            </w:r>
          </w:p>
        </w:tc>
      </w:tr>
      <w:tr>
        <w:tc>
          <w:tcPr/>
          <w:p>
            <w:pPr>
              <w:pStyle w:val="Compact"/>
            </w:pPr>
            <w:r>
              <w:t xml:space="preserve">Interest expense</w:t>
            </w:r>
          </w:p>
        </w:tc>
        <w:tc>
          <w:tcPr/>
          <w:p>
            <w:pPr>
              <w:pStyle w:val="Compact"/>
              <w:jc w:val="right"/>
            </w:pPr>
            <m:oMath>
              <m:r>
                <m:t>792</m:t>
              </m:r>
              <m:r>
                <m:rPr>
                  <m:sty m:val="p"/>
                </m:rPr>
                <m:t>–</m:t>
              </m:r>
            </m:oMath>
            <w:r>
              <w:t xml:space="preserve">837 million</w:t>
            </w:r>
          </w:p>
        </w:tc>
        <w:tc>
          <w:tcPr/>
          <w:p>
            <w:pPr>
              <w:pStyle w:val="Compact"/>
              <w:jc w:val="right"/>
            </w:pPr>
            <w:r>
              <w:t xml:space="preserve">~$815 million</w:t>
            </w:r>
          </w:p>
        </w:tc>
      </w:tr>
      <w:tr>
        <w:tc>
          <w:tcPr/>
          <w:p>
            <w:pPr>
              <w:pStyle w:val="Compact"/>
            </w:pPr>
            <w:r>
              <w:t xml:space="preserve">Discretionary capex</w:t>
            </w:r>
          </w:p>
        </w:tc>
        <w:tc>
          <w:tcPr/>
          <w:p>
            <w:pPr>
              <w:pStyle w:val="Compact"/>
              <w:jc w:val="right"/>
            </w:pPr>
            <m:oMath>
              <m:r>
                <m:t>150</m:t>
              </m:r>
              <m:r>
                <m:rPr>
                  <m:sty m:val="p"/>
                </m:rPr>
                <m:t>–</m:t>
              </m:r>
            </m:oMath>
            <w:r>
              <w:t xml:space="preserve">250 million</w:t>
            </w:r>
          </w:p>
        </w:tc>
        <w:tc>
          <w:tcPr/>
          <w:p>
            <w:pPr>
              <w:pStyle w:val="Compact"/>
              <w:jc w:val="right"/>
            </w:pPr>
            <w:r>
              <w:t xml:space="preserve">$200 million</w:t>
            </w:r>
          </w:p>
        </w:tc>
      </w:tr>
    </w:tbl>
    <w:p>
      <w:pPr>
        <w:pStyle w:val="BodyText"/>
      </w:pPr>
      <w:r>
        <w:t xml:space="preserve">The May update added approximately</w:t>
      </w:r>
      <w:r>
        <w:t xml:space="preserve"> </w:t>
      </w:r>
      <m:oMath>
        <m:r>
          <m:t>50</m:t>
        </m:r>
        <m:r>
          <m:t>m</m:t>
        </m:r>
        <m:r>
          <m:t>i</m:t>
        </m:r>
        <m:r>
          <m:t>l</m:t>
        </m:r>
        <m:r>
          <m:t>l</m:t>
        </m:r>
        <m:r>
          <m:t>i</m:t>
        </m:r>
        <m:r>
          <m:t>o</m:t>
        </m:r>
        <m:r>
          <m:t>n</m:t>
        </m:r>
        <m:r>
          <m:t>t</m:t>
        </m:r>
        <m:r>
          <m:t>o</m:t>
        </m:r>
        <m:r>
          <m:t>A</m:t>
        </m:r>
        <m:r>
          <m:t>F</m:t>
        </m:r>
        <m:r>
          <m:t>F</m:t>
        </m:r>
        <m:r>
          <m:t>O</m:t>
        </m:r>
        <m:r>
          <m:rPr>
            <m:sty m:val="p"/>
          </m:rPr>
          <m:t>*</m:t>
        </m:r>
        <m:r>
          <m:rPr>
            <m:sty m:val="p"/>
          </m:rPr>
          <m:t>*</m:t>
        </m:r>
        <m:r>
          <m:t>a</m:t>
        </m:r>
        <m:r>
          <m:t>n</m:t>
        </m:r>
        <m:r>
          <m:t>d</m:t>
        </m:r>
        <m:r>
          <m:rPr>
            <m:sty m:val="p"/>
          </m:rPr>
          <m:t>*</m:t>
        </m:r>
        <m:r>
          <m:rPr>
            <m:sty m:val="p"/>
          </m:rPr>
          <m:t>*</m:t>
        </m:r>
      </m:oMath>
      <w:r>
        <w:rPr>
          <w:b/>
          <w:bCs/>
        </w:rPr>
        <w:t xml:space="preserve">0.16 to AFFO per share</w:t>
      </w:r>
      <w:r>
        <w:t xml:space="preserve">, primarily from earlier debt repayment and additional interest income.</w:t>
      </w:r>
    </w:p>
    <w:p>
      <w:pPr>
        <w:pStyle w:val="BodyText"/>
      </w:pPr>
      <w:r>
        <w:t xml:space="preserve">After first-quarter AFFO of</w:t>
      </w:r>
      <w:r>
        <w:t xml:space="preserve"> </w:t>
      </w:r>
      <m:oMath>
        <m:r>
          <m:t>446</m:t>
        </m:r>
        <m:r>
          <m:t>m</m:t>
        </m:r>
        <m:r>
          <m:t>i</m:t>
        </m:r>
        <m:r>
          <m:t>l</m:t>
        </m:r>
        <m:r>
          <m:t>l</m:t>
        </m:r>
        <m:r>
          <m:t>i</m:t>
        </m:r>
        <m:r>
          <m:t>o</m:t>
        </m:r>
        <m:r>
          <m:t>n</m:t>
        </m:r>
        <m:r>
          <m:rPr>
            <m:sty m:val="p"/>
          </m:rPr>
          <m:t>,</m:t>
        </m:r>
        <m:r>
          <m:t>t</m:t>
        </m:r>
        <m:r>
          <m:t>h</m:t>
        </m:r>
        <m:r>
          <m:t>e</m:t>
        </m:r>
        <m:r>
          <m:t>g</m:t>
        </m:r>
        <m:r>
          <m:t>u</m:t>
        </m:r>
        <m:r>
          <m:t>i</m:t>
        </m:r>
        <m:r>
          <m:t>d</m:t>
        </m:r>
        <m:r>
          <m:t>a</m:t>
        </m:r>
        <m:r>
          <m:t>n</m:t>
        </m:r>
        <m:r>
          <m:t>c</m:t>
        </m:r>
        <m:r>
          <m:t>e</m:t>
        </m:r>
        <m:r>
          <m:t>m</m:t>
        </m:r>
        <m:r>
          <m:t>i</m:t>
        </m:r>
        <m:r>
          <m:t>d</m:t>
        </m:r>
        <m:r>
          <m:t>p</m:t>
        </m:r>
        <m:r>
          <m:t>o</m:t>
        </m:r>
        <m:r>
          <m:t>i</m:t>
        </m:r>
        <m:r>
          <m:t>n</m:t>
        </m:r>
        <m:r>
          <m:t>t</m:t>
        </m:r>
        <m:r>
          <m:t>r</m:t>
        </m:r>
        <m:r>
          <m:t>e</m:t>
        </m:r>
        <m:r>
          <m:t>q</m:t>
        </m:r>
        <m:r>
          <m:t>u</m:t>
        </m:r>
        <m:r>
          <m:t>i</m:t>
        </m:r>
        <m:r>
          <m:t>r</m:t>
        </m:r>
        <m:r>
          <m:t>e</m:t>
        </m:r>
        <m:r>
          <m:t>s</m:t>
        </m:r>
        <m:r>
          <m:t>a</m:t>
        </m:r>
        <m:r>
          <m:t>p</m:t>
        </m:r>
        <m:r>
          <m:t>p</m:t>
        </m:r>
        <m:r>
          <m:t>r</m:t>
        </m:r>
        <m:r>
          <m:t>o</m:t>
        </m:r>
        <m:r>
          <m:t>x</m:t>
        </m:r>
        <m:r>
          <m:t>i</m:t>
        </m:r>
        <m:r>
          <m:t>m</m:t>
        </m:r>
        <m:r>
          <m:t>a</m:t>
        </m:r>
        <m:r>
          <m:t>t</m:t>
        </m:r>
        <m:r>
          <m:t>e</m:t>
        </m:r>
        <m:r>
          <m:t>l</m:t>
        </m:r>
        <m:r>
          <m:t>y</m:t>
        </m:r>
        <m:r>
          <m:rPr>
            <m:sty m:val="p"/>
          </m:rPr>
          <m:t>*</m:t>
        </m:r>
        <m:r>
          <m:rPr>
            <m:sty m:val="p"/>
          </m:rPr>
          <m:t>*</m:t>
        </m:r>
      </m:oMath>
      <w:r>
        <w:t xml:space="preserve">1.52 billion of AFFO over the final nine months**, or roughly</w:t>
      </w:r>
      <w:r>
        <w:t xml:space="preserve"> </w:t>
      </w:r>
      <w:r>
        <w:rPr>
          <w:b/>
          <w:bCs/>
        </w:rPr>
        <w:t xml:space="preserve">$508 million per quarter on average</w:t>
      </w:r>
      <w:r>
        <w:t xml:space="preserve">. That is achievable if the interest savings and buyback proceed as planned, but it also means investors should expect a meaningful improvement from the first-quarter run rate.</w:t>
      </w:r>
    </w:p>
    <w:p>
      <w:r>
        <w:pict>
          <v:rect style="width:0;height:1.5pt" o:hralign="center" o:hrstd="t" o:hr="t"/>
        </w:pict>
      </w:r>
    </w:p>
    <w:bookmarkEnd w:id="12"/>
    <w:bookmarkStart w:id="13" w:name="what-matters-most-in-the-report"/>
    <w:p>
      <w:pPr>
        <w:pStyle w:val="Heading2"/>
      </w:pPr>
      <w:r>
        <w:t xml:space="preserve">What matters most in the report</w:t>
      </w:r>
    </w:p>
    <w:bookmarkEnd w:id="13"/>
    <w:bookmarkStart w:id="15" w:name="Xf88274d2b80026c0f971039fb84b88ec08ba9a7"/>
    <w:p>
      <w:pPr>
        <w:pStyle w:val="Heading2"/>
      </w:pPr>
      <w:r>
        <w:t xml:space="preserve">1. The quality of underlying tower growth</w:t>
      </w:r>
    </w:p>
    <w:p>
      <w:pPr>
        <w:pStyle w:val="FirstParagraph"/>
      </w:pPr>
      <w:r>
        <w:t xml:space="preserve">CCI expects 2026 adjusted organic contribution to site rental billings of approximately</w:t>
      </w:r>
      <w:r>
        <w:t xml:space="preserve"> </w:t>
      </w:r>
      <w:r>
        <w:rPr>
          <w:b/>
          <w:bCs/>
        </w:rPr>
        <w:t xml:space="preserve">3.5%</w:t>
      </w:r>
      <w:r>
        <w:t xml:space="preserve">, excluding DISH and Sprint and removing DISH from the comparison base. That compares with 3.3% in the first quarter and management’s description of 2026 as a likely low point.</w:t>
      </w:r>
    </w:p>
    <w:p>
      <w:pPr>
        <w:pStyle w:val="BodyText"/>
      </w:pPr>
      <w:r>
        <w:t xml:space="preserve">The most important operating metrics will be:</w:t>
      </w:r>
    </w:p>
    <w:p>
      <w:pPr>
        <w:pStyle w:val="Compact"/>
        <w:numPr>
          <w:ilvl w:val="0"/>
          <w:numId w:val="1003"/>
        </w:numPr>
      </w:pPr>
      <w:r>
        <w:rPr>
          <w:b/>
          <w:bCs/>
        </w:rPr>
        <w:t xml:space="preserve">Core leasing activity:</w:t>
      </w:r>
      <w:r>
        <w:t xml:space="preserve"> </w:t>
      </w:r>
      <w:r>
        <w:t xml:space="preserve">1Q26 was only 1.6% of the adjusted prior-year base.</w:t>
      </w:r>
    </w:p>
    <w:p>
      <w:pPr>
        <w:pStyle w:val="Compact"/>
        <w:numPr>
          <w:ilvl w:val="0"/>
          <w:numId w:val="1003"/>
        </w:numPr>
      </w:pPr>
      <w:r>
        <w:rPr>
          <w:b/>
          <w:bCs/>
        </w:rPr>
        <w:t xml:space="preserve">Escalators:</w:t>
      </w:r>
      <w:r>
        <w:t xml:space="preserve"> </w:t>
      </w:r>
      <w:r>
        <w:t xml:space="preserve">Running near 2.7%, these remain the most predictable growth component.</w:t>
      </w:r>
    </w:p>
    <w:p>
      <w:pPr>
        <w:pStyle w:val="Compact"/>
        <w:numPr>
          <w:ilvl w:val="0"/>
          <w:numId w:val="1003"/>
        </w:numPr>
      </w:pPr>
      <w:r>
        <w:rPr>
          <w:b/>
          <w:bCs/>
        </w:rPr>
        <w:t xml:space="preserve">Ordinary-course churn:</w:t>
      </w:r>
      <w:r>
        <w:t xml:space="preserve"> </w:t>
      </w:r>
      <w:r>
        <w:t xml:space="preserve">Guidance assumes approximately 0.8%.</w:t>
      </w:r>
    </w:p>
    <w:p>
      <w:pPr>
        <w:pStyle w:val="Compact"/>
        <w:numPr>
          <w:ilvl w:val="0"/>
          <w:numId w:val="1003"/>
        </w:numPr>
      </w:pPr>
      <w:r>
        <w:rPr>
          <w:b/>
          <w:bCs/>
        </w:rPr>
        <w:t xml:space="preserve">Adjusted organic growth:</w:t>
      </w:r>
      <w:r>
        <w:t xml:space="preserve"> </w:t>
      </w:r>
      <w:r>
        <w:t xml:space="preserve">A result around or above the 3.5% full-year target would support the stabilization narrative.</w:t>
      </w:r>
    </w:p>
    <w:p>
      <w:pPr>
        <w:pStyle w:val="Compact"/>
        <w:numPr>
          <w:ilvl w:val="0"/>
          <w:numId w:val="1003"/>
        </w:numPr>
      </w:pPr>
      <w:r>
        <w:rPr>
          <w:b/>
          <w:bCs/>
        </w:rPr>
        <w:t xml:space="preserve">Application activity and backlog:</w:t>
      </w:r>
      <w:r>
        <w:t xml:space="preserve"> </w:t>
      </w:r>
      <w:r>
        <w:t xml:space="preserve">Investors need evidence that management’s “second-half-loaded” growth expectations are intact.</w:t>
      </w:r>
    </w:p>
    <w:p>
      <w:pPr>
        <w:pStyle w:val="FirstParagraph"/>
      </w:pPr>
      <w:r>
        <w:t xml:space="preserve">A good quarter would show that first-quarter core leasing was the trough and that carrier activity is beginning to improve. Another weak core-leasing result would raise questions about whether the issue is merely timing or a more persistent portfolio-growth disadvantage.</w:t>
      </w:r>
    </w:p>
    <w:bookmarkStart w:id="14" w:name="important-distinction"/>
    <w:p>
      <w:pPr>
        <w:pStyle w:val="Heading3"/>
      </w:pPr>
      <w:r>
        <w:t xml:space="preserve">Important distinction</w:t>
      </w:r>
    </w:p>
    <w:p>
      <w:pPr>
        <w:pStyle w:val="FirstParagraph"/>
      </w:pPr>
      <w:r>
        <w:t xml:space="preserve">Reported tower revenue will remain noisy and likely negative year over year because of DISH, Sprint and non-cash accounting items. Investors should not confuse a reported revenue decline with deterioration in the adjusted underlying business.</w:t>
      </w:r>
    </w:p>
    <w:p>
      <w:pPr>
        <w:pStyle w:val="BodyText"/>
      </w:pPr>
      <w:r>
        <w:t xml:space="preserve">For the full year, CCI expects:</w:t>
      </w:r>
    </w:p>
    <w:p>
      <w:pPr>
        <w:pStyle w:val="Compact"/>
        <w:numPr>
          <w:ilvl w:val="0"/>
          <w:numId w:val="1004"/>
        </w:numPr>
      </w:pPr>
      <w:r>
        <w:t xml:space="preserve">Adjusted organic billings growth of roughly</w:t>
      </w:r>
      <w:r>
        <w:t xml:space="preserve"> </w:t>
      </w:r>
      <w:r>
        <w:rPr>
          <w:b/>
          <w:bCs/>
        </w:rPr>
        <w:t xml:space="preserve">3.5%</w:t>
      </w:r>
    </w:p>
    <w:p>
      <w:pPr>
        <w:pStyle w:val="Compact"/>
        <w:numPr>
          <w:ilvl w:val="0"/>
          <w:numId w:val="1004"/>
        </w:numPr>
      </w:pPr>
      <w:r>
        <w:t xml:space="preserve">Reported organic billings growth of approximately</w:t>
      </w:r>
      <w:r>
        <w:t xml:space="preserve"> </w:t>
      </w:r>
      <w:r>
        <w:rPr>
          <w:b/>
          <w:bCs/>
        </w:rPr>
        <w:t xml:space="preserve">-2.8%</w:t>
      </w:r>
      <w:r>
        <w:t xml:space="preserve"> </w:t>
      </w:r>
      <w:r>
        <w:t xml:space="preserve">after DISH and Sprint</w:t>
      </w:r>
    </w:p>
    <w:p>
      <w:pPr>
        <w:pStyle w:val="Compact"/>
        <w:numPr>
          <w:ilvl w:val="0"/>
          <w:numId w:val="1004"/>
        </w:numPr>
      </w:pPr>
      <w:r>
        <w:t xml:space="preserve">Site rental revenue down approximately</w:t>
      </w:r>
      <w:r>
        <w:t xml:space="preserve"> </w:t>
      </w:r>
      <w:r>
        <w:rPr>
          <w:b/>
          <w:bCs/>
        </w:rPr>
        <w:t xml:space="preserve">4.9%</w:t>
      </w:r>
    </w:p>
    <w:p>
      <w:pPr>
        <w:pStyle w:val="FirstParagraph"/>
      </w:pPr>
      <w:r>
        <w:t xml:space="preserve">The adjusted growth figure is the better indicator of current leasing health, while the reported figure captures the economic damage from tenant terminations.</w:t>
      </w:r>
    </w:p>
    <w:p>
      <w:r>
        <w:pict>
          <v:rect style="width:0;height:1.5pt" o:hralign="center" o:hrstd="t" o:hr="t"/>
        </w:pict>
      </w:r>
    </w:p>
    <w:bookmarkEnd w:id="14"/>
    <w:bookmarkEnd w:id="15"/>
    <w:bookmarkStart w:id="17" w:name="X3e97ea2240547ba4d46d5b7e1ea19e30692b707"/>
    <w:p>
      <w:pPr>
        <w:pStyle w:val="Heading2"/>
      </w:pPr>
      <w:r>
        <w:t xml:space="preserve">2. Execution following the fiber and small-cell sale</w:t>
      </w:r>
    </w:p>
    <w:p>
      <w:pPr>
        <w:pStyle w:val="FirstParagraph"/>
      </w:pPr>
      <w:r>
        <w:t xml:space="preserve">CCI completed the sale on May 1 for approximately</w:t>
      </w:r>
      <w:r>
        <w:t xml:space="preserve"> </w:t>
      </w:r>
      <w:r>
        <w:rPr>
          <w:b/>
          <w:bCs/>
        </w:rPr>
        <w:t xml:space="preserve">$8.4 billion of net preliminary cash proceeds</w:t>
      </w:r>
      <w:r>
        <w:t xml:space="preserve">. The company planned to use the proceeds to:</w:t>
      </w:r>
    </w:p>
    <w:p>
      <w:pPr>
        <w:pStyle w:val="Compact"/>
        <w:numPr>
          <w:ilvl w:val="0"/>
          <w:numId w:val="1005"/>
        </w:numPr>
      </w:pPr>
      <w:r>
        <w:t xml:space="preserve">Repay</w:t>
      </w:r>
      <w:r>
        <w:t xml:space="preserve"> </w:t>
      </w:r>
      <w:r>
        <w:rPr>
          <w:b/>
          <w:bCs/>
        </w:rPr>
        <w:t xml:space="preserve">more than $7 billion of debt</w:t>
      </w:r>
    </w:p>
    <w:p>
      <w:pPr>
        <w:pStyle w:val="Compact"/>
        <w:numPr>
          <w:ilvl w:val="0"/>
          <w:numId w:val="1005"/>
        </w:numPr>
      </w:pPr>
      <w:r>
        <w:t xml:space="preserve">Repurchase approximately</w:t>
      </w:r>
      <w:r>
        <w:t xml:space="preserve"> </w:t>
      </w:r>
      <w:r>
        <w:rPr>
          <w:b/>
          <w:bCs/>
        </w:rPr>
        <w:t xml:space="preserve">$1 billion of shares</w:t>
      </w:r>
    </w:p>
    <w:p>
      <w:pPr>
        <w:pStyle w:val="Compact"/>
        <w:numPr>
          <w:ilvl w:val="0"/>
          <w:numId w:val="1005"/>
        </w:numPr>
      </w:pPr>
      <w:r>
        <w:t xml:space="preserve">Maintain leverage within its</w:t>
      </w:r>
      <w:r>
        <w:t xml:space="preserve"> </w:t>
      </w:r>
      <w:r>
        <w:rPr>
          <w:b/>
          <w:bCs/>
        </w:rPr>
        <w:t xml:space="preserve">6.0–6.5 times</w:t>
      </w:r>
      <w:r>
        <w:t xml:space="preserve"> </w:t>
      </w:r>
      <w:r>
        <w:t xml:space="preserve">target range</w:t>
      </w:r>
    </w:p>
    <w:p>
      <w:pPr>
        <w:pStyle w:val="FirstParagraph"/>
      </w:pPr>
      <w:r>
        <w:t xml:space="preserve">This report should provide the first complete accounting of those actions.</w:t>
      </w:r>
    </w:p>
    <w:p>
      <w:pPr>
        <w:pStyle w:val="BodyText"/>
      </w:pPr>
      <w:r>
        <w:t xml:space="preserve">Investors should look for:</w:t>
      </w:r>
    </w:p>
    <w:p>
      <w:pPr>
        <w:pStyle w:val="Compact"/>
        <w:numPr>
          <w:ilvl w:val="0"/>
          <w:numId w:val="1006"/>
        </w:numPr>
      </w:pPr>
      <w:r>
        <w:t xml:space="preserve">Quarter-end net debt and net leverage</w:t>
      </w:r>
    </w:p>
    <w:p>
      <w:pPr>
        <w:pStyle w:val="Compact"/>
        <w:numPr>
          <w:ilvl w:val="0"/>
          <w:numId w:val="1006"/>
        </w:numPr>
      </w:pPr>
      <w:r>
        <w:t xml:space="preserve">The amount of revolving credit, commercial paper and notes repaid</w:t>
      </w:r>
    </w:p>
    <w:p>
      <w:pPr>
        <w:pStyle w:val="Compact"/>
        <w:numPr>
          <w:ilvl w:val="0"/>
          <w:numId w:val="1006"/>
        </w:numPr>
      </w:pPr>
      <w:r>
        <w:t xml:space="preserve">Remaining cash reserved for debt maturities</w:t>
      </w:r>
    </w:p>
    <w:p>
      <w:pPr>
        <w:pStyle w:val="Compact"/>
        <w:numPr>
          <w:ilvl w:val="0"/>
          <w:numId w:val="1006"/>
        </w:numPr>
      </w:pPr>
      <w:r>
        <w:t xml:space="preserve">Shares repurchased, average repurchase price and remaining authorization</w:t>
      </w:r>
    </w:p>
    <w:p>
      <w:pPr>
        <w:pStyle w:val="Compact"/>
        <w:numPr>
          <w:ilvl w:val="0"/>
          <w:numId w:val="1006"/>
        </w:numPr>
      </w:pPr>
      <w:r>
        <w:t xml:space="preserve">Updated interest-expense guidance</w:t>
      </w:r>
    </w:p>
    <w:p>
      <w:pPr>
        <w:pStyle w:val="Compact"/>
        <w:numPr>
          <w:ilvl w:val="0"/>
          <w:numId w:val="1006"/>
        </w:numPr>
      </w:pPr>
      <w:r>
        <w:t xml:space="preserve">Any transaction-related adjustments or stranded costs</w:t>
      </w:r>
    </w:p>
    <w:p>
      <w:pPr>
        <w:pStyle w:val="FirstParagraph"/>
      </w:pPr>
      <w:r>
        <w:t xml:space="preserve">CCI entered into a new</w:t>
      </w:r>
      <w:r>
        <w:t xml:space="preserve"> </w:t>
      </w:r>
      <w:r>
        <w:rPr>
          <w:b/>
          <w:bCs/>
        </w:rPr>
        <w:t xml:space="preserve">$4.5 billion unsecured revolving credit facility maturing in May 2031</w:t>
      </w:r>
      <w:r>
        <w:t xml:space="preserve"> </w:t>
      </w:r>
      <w:r>
        <w:t xml:space="preserve">and repaid the outstanding loans under its previous credit agreement at closing. The key issue now is whether the post-sale balance sheet looks as clean as promised.</w:t>
      </w:r>
    </w:p>
    <w:bookmarkStart w:id="16" w:name="why-the-buyback-matters"/>
    <w:p>
      <w:pPr>
        <w:pStyle w:val="Heading3"/>
      </w:pPr>
      <w:r>
        <w:t xml:space="preserve">Why the buyback matters</w:t>
      </w:r>
    </w:p>
    <w:p>
      <w:pPr>
        <w:pStyle w:val="FirstParagraph"/>
      </w:pPr>
      <w:r>
        <w:t xml:space="preserve">The May outlook assumed a diluted weighted-average share count of approximately</w:t>
      </w:r>
      <w:r>
        <w:t xml:space="preserve"> </w:t>
      </w:r>
      <w:r>
        <w:rPr>
          <w:b/>
          <w:bCs/>
        </w:rPr>
        <w:t xml:space="preserve">429 million</w:t>
      </w:r>
      <w:r>
        <w:t xml:space="preserve">, down from 437 million in the first quarter. Thus, part of the expected AFFO-per-share improvement is financial rather than operational.</w:t>
      </w:r>
    </w:p>
    <w:p>
      <w:pPr>
        <w:pStyle w:val="BodyText"/>
      </w:pPr>
      <w:r>
        <w:t xml:space="preserve">A completed or substantially completed repurchase at current prices would be accretive. Conversely, a slower buyback would not necessarily be negative if the company prioritized debt reduction, but management would need to explain how that affects 2026 AFFO per share.</w:t>
      </w:r>
    </w:p>
    <w:p>
      <w:r>
        <w:pict>
          <v:rect style="width:0;height:1.5pt" o:hralign="center" o:hrstd="t" o:hr="t"/>
        </w:pict>
      </w:r>
    </w:p>
    <w:bookmarkEnd w:id="16"/>
    <w:bookmarkEnd w:id="17"/>
    <w:bookmarkStart w:id="20" w:name="Xba4ff6f7651a08aa55a774bf520452cd75f6e3b"/>
    <w:p>
      <w:pPr>
        <w:pStyle w:val="Heading2"/>
      </w:pPr>
      <w:r>
        <w:t xml:space="preserve">3. Guidance: maintenance is probably enough, but composition matters</w:t>
      </w:r>
    </w:p>
    <w:p>
      <w:pPr>
        <w:pStyle w:val="FirstParagraph"/>
      </w:pPr>
      <w:r>
        <w:t xml:space="preserve">The base expectation should be for CCI to</w:t>
      </w:r>
      <w:r>
        <w:t xml:space="preserve"> </w:t>
      </w:r>
      <w:r>
        <w:rPr>
          <w:b/>
          <w:bCs/>
        </w:rPr>
        <w:t xml:space="preserve">maintain its May guidance</w:t>
      </w:r>
      <w:r>
        <w:t xml:space="preserve">. A formal increase is possible if:</w:t>
      </w:r>
    </w:p>
    <w:p>
      <w:pPr>
        <w:pStyle w:val="Compact"/>
        <w:numPr>
          <w:ilvl w:val="0"/>
          <w:numId w:val="1007"/>
        </w:numPr>
      </w:pPr>
      <w:r>
        <w:t xml:space="preserve">Debt was repaid faster or at lower cost than assumed</w:t>
      </w:r>
    </w:p>
    <w:p>
      <w:pPr>
        <w:pStyle w:val="Compact"/>
        <w:numPr>
          <w:ilvl w:val="0"/>
          <w:numId w:val="1007"/>
        </w:numPr>
      </w:pPr>
      <w:r>
        <w:t xml:space="preserve">The buyback was executed at attractive prices</w:t>
      </w:r>
    </w:p>
    <w:p>
      <w:pPr>
        <w:pStyle w:val="Compact"/>
        <w:numPr>
          <w:ilvl w:val="0"/>
          <w:numId w:val="1007"/>
        </w:numPr>
      </w:pPr>
      <w:r>
        <w:t xml:space="preserve">Short-term interest rates or interest income were favorable</w:t>
      </w:r>
    </w:p>
    <w:p>
      <w:pPr>
        <w:pStyle w:val="Compact"/>
        <w:numPr>
          <w:ilvl w:val="0"/>
          <w:numId w:val="1007"/>
        </w:numPr>
      </w:pPr>
      <w:r>
        <w:t xml:space="preserve">Tower operating costs are running below plan</w:t>
      </w:r>
    </w:p>
    <w:p>
      <w:pPr>
        <w:pStyle w:val="FirstParagraph"/>
      </w:pPr>
      <w:r>
        <w:t xml:space="preserve">However, investors should distinguish between two types of guidance improvement:</w:t>
      </w:r>
    </w:p>
    <w:bookmarkStart w:id="18" w:name="higher-quality-upside"/>
    <w:p>
      <w:pPr>
        <w:pStyle w:val="Heading3"/>
      </w:pPr>
      <w:r>
        <w:t xml:space="preserve">Higher-quality upside</w:t>
      </w:r>
    </w:p>
    <w:p>
      <w:pPr>
        <w:pStyle w:val="Compact"/>
        <w:numPr>
          <w:ilvl w:val="0"/>
          <w:numId w:val="1008"/>
        </w:numPr>
      </w:pPr>
      <w:r>
        <w:t xml:space="preserve">Better core leasing</w:t>
      </w:r>
    </w:p>
    <w:p>
      <w:pPr>
        <w:pStyle w:val="Compact"/>
        <w:numPr>
          <w:ilvl w:val="0"/>
          <w:numId w:val="1008"/>
        </w:numPr>
      </w:pPr>
      <w:r>
        <w:t xml:space="preserve">Lower ordinary-course churn</w:t>
      </w:r>
    </w:p>
    <w:p>
      <w:pPr>
        <w:pStyle w:val="Compact"/>
        <w:numPr>
          <w:ilvl w:val="0"/>
          <w:numId w:val="1008"/>
        </w:numPr>
      </w:pPr>
      <w:r>
        <w:t xml:space="preserve">Sustainable operating-cost savings</w:t>
      </w:r>
    </w:p>
    <w:p>
      <w:pPr>
        <w:pStyle w:val="Compact"/>
        <w:numPr>
          <w:ilvl w:val="0"/>
          <w:numId w:val="1008"/>
        </w:numPr>
      </w:pPr>
      <w:r>
        <w:t xml:space="preserve">Improved tower margins</w:t>
      </w:r>
    </w:p>
    <w:p>
      <w:pPr>
        <w:pStyle w:val="Compact"/>
        <w:numPr>
          <w:ilvl w:val="0"/>
          <w:numId w:val="1008"/>
        </w:numPr>
      </w:pPr>
      <w:r>
        <w:t xml:space="preserve">A higher post-close recurring AFFO base</w:t>
      </w:r>
    </w:p>
    <w:bookmarkEnd w:id="18"/>
    <w:bookmarkStart w:id="19" w:name="lower-quality-upside"/>
    <w:p>
      <w:pPr>
        <w:pStyle w:val="Heading3"/>
      </w:pPr>
      <w:r>
        <w:t xml:space="preserve">Lower-quality upside</w:t>
      </w:r>
    </w:p>
    <w:p>
      <w:pPr>
        <w:pStyle w:val="Compact"/>
        <w:numPr>
          <w:ilvl w:val="0"/>
          <w:numId w:val="1009"/>
        </w:numPr>
      </w:pPr>
      <w:r>
        <w:t xml:space="preserve">Temporary interest income</w:t>
      </w:r>
    </w:p>
    <w:p>
      <w:pPr>
        <w:pStyle w:val="Compact"/>
        <w:numPr>
          <w:ilvl w:val="0"/>
          <w:numId w:val="1009"/>
        </w:numPr>
      </w:pPr>
      <w:r>
        <w:t xml:space="preserve">Timing of expenses</w:t>
      </w:r>
    </w:p>
    <w:p>
      <w:pPr>
        <w:pStyle w:val="Compact"/>
        <w:numPr>
          <w:ilvl w:val="0"/>
          <w:numId w:val="1009"/>
        </w:numPr>
      </w:pPr>
      <w:r>
        <w:t xml:space="preserve">Lower share count without better business performance</w:t>
      </w:r>
    </w:p>
    <w:p>
      <w:pPr>
        <w:pStyle w:val="Compact"/>
        <w:numPr>
          <w:ilvl w:val="0"/>
          <w:numId w:val="1009"/>
        </w:numPr>
      </w:pPr>
      <w:r>
        <w:t xml:space="preserve">One-time services revenue or transaction adjustments</w:t>
      </w:r>
    </w:p>
    <w:p>
      <w:pPr>
        <w:pStyle w:val="FirstParagraph"/>
      </w:pPr>
      <w:r>
        <w:t xml:space="preserve">A guidance increase driven by tower fundamentals would be much more important than another modest benefit from transaction timing.</w:t>
      </w:r>
    </w:p>
    <w:p>
      <w:r>
        <w:pict>
          <v:rect style="width:0;height:1.5pt" o:hralign="center" o:hrstd="t" o:hr="t"/>
        </w:pict>
      </w:r>
    </w:p>
    <w:bookmarkEnd w:id="19"/>
    <w:bookmarkEnd w:id="20"/>
    <w:bookmarkStart w:id="21" w:name="Xadf9b1e28e56925e10b9ff3d5ae4610f555fa14"/>
    <w:p>
      <w:pPr>
        <w:pStyle w:val="Heading2"/>
      </w:pPr>
      <w:r>
        <w:t xml:space="preserve">4. The post-close AFFO bridge</w:t>
      </w:r>
    </w:p>
    <w:p>
      <w:pPr>
        <w:pStyle w:val="FirstParagraph"/>
      </w:pPr>
      <w:r>
        <w:t xml:space="preserve">Management previously said the midpoint of AFFO for the</w:t>
      </w:r>
      <w:r>
        <w:t xml:space="preserve"> </w:t>
      </w:r>
      <w:r>
        <w:rPr>
          <w:b/>
          <w:bCs/>
        </w:rPr>
        <w:t xml:space="preserve">12 months following the sale</w:t>
      </w:r>
      <w:r>
        <w:t xml:space="preserve"> </w:t>
      </w:r>
      <w:r>
        <w:t xml:space="preserve">should be approximately</w:t>
      </w:r>
      <w:r>
        <w:t xml:space="preserve"> </w:t>
      </w:r>
      <w:r>
        <w:rPr>
          <w:b/>
          <w:bCs/>
        </w:rPr>
        <w:t xml:space="preserve">$2.1 billion</w:t>
      </w:r>
      <w:r>
        <w:t xml:space="preserve">. That post-close figure is arguably more useful than 2026 reported AFFO because 2026 contains:</w:t>
      </w:r>
    </w:p>
    <w:p>
      <w:pPr>
        <w:pStyle w:val="Compact"/>
        <w:numPr>
          <w:ilvl w:val="0"/>
          <w:numId w:val="1010"/>
        </w:numPr>
      </w:pPr>
      <w:r>
        <w:t xml:space="preserve">One quarter under the old capital structure</w:t>
      </w:r>
    </w:p>
    <w:p>
      <w:pPr>
        <w:pStyle w:val="Compact"/>
        <w:numPr>
          <w:ilvl w:val="0"/>
          <w:numId w:val="1010"/>
        </w:numPr>
      </w:pPr>
      <w:r>
        <w:t xml:space="preserve">One month of discontinued fiber and small-cell operations in the second quarter</w:t>
      </w:r>
    </w:p>
    <w:p>
      <w:pPr>
        <w:pStyle w:val="Compact"/>
        <w:numPr>
          <w:ilvl w:val="0"/>
          <w:numId w:val="1010"/>
        </w:numPr>
      </w:pPr>
      <w:r>
        <w:t xml:space="preserve">Midyear debt repayment</w:t>
      </w:r>
    </w:p>
    <w:p>
      <w:pPr>
        <w:pStyle w:val="Compact"/>
        <w:numPr>
          <w:ilvl w:val="0"/>
          <w:numId w:val="1010"/>
        </w:numPr>
      </w:pPr>
      <w:r>
        <w:t xml:space="preserve">A buyback occurring during the year</w:t>
      </w:r>
    </w:p>
    <w:p>
      <w:pPr>
        <w:pStyle w:val="Compact"/>
        <w:numPr>
          <w:ilvl w:val="0"/>
          <w:numId w:val="1010"/>
        </w:numPr>
      </w:pPr>
      <w:r>
        <w:t xml:space="preserve">Restructuring and separation costs</w:t>
      </w:r>
    </w:p>
    <w:p>
      <w:pPr>
        <w:pStyle w:val="FirstParagraph"/>
      </w:pPr>
      <w:r>
        <w:t xml:space="preserve">Investors should ask management to reconcile the $2.1 billion post-close AFFO target across:</w:t>
      </w:r>
    </w:p>
    <w:p>
      <w:pPr>
        <w:pStyle w:val="Compact"/>
        <w:numPr>
          <w:ilvl w:val="0"/>
          <w:numId w:val="1011"/>
        </w:numPr>
      </w:pPr>
      <w:r>
        <w:t xml:space="preserve">Tower site-rental billings</w:t>
      </w:r>
    </w:p>
    <w:p>
      <w:pPr>
        <w:pStyle w:val="Compact"/>
        <w:numPr>
          <w:ilvl w:val="0"/>
          <w:numId w:val="1011"/>
        </w:numPr>
      </w:pPr>
      <w:r>
        <w:t xml:space="preserve">Tower operating and corporate costs</w:t>
      </w:r>
    </w:p>
    <w:p>
      <w:pPr>
        <w:pStyle w:val="Compact"/>
        <w:numPr>
          <w:ilvl w:val="0"/>
          <w:numId w:val="1011"/>
        </w:numPr>
      </w:pPr>
      <w:r>
        <w:t xml:space="preserve">Services gross margin</w:t>
      </w:r>
    </w:p>
    <w:p>
      <w:pPr>
        <w:pStyle w:val="Compact"/>
        <w:numPr>
          <w:ilvl w:val="0"/>
          <w:numId w:val="1011"/>
        </w:numPr>
      </w:pPr>
      <w:r>
        <w:t xml:space="preserve">Recurring interest expense</w:t>
      </w:r>
    </w:p>
    <w:p>
      <w:pPr>
        <w:pStyle w:val="Compact"/>
        <w:numPr>
          <w:ilvl w:val="0"/>
          <w:numId w:val="1011"/>
        </w:numPr>
      </w:pPr>
      <w:r>
        <w:t xml:space="preserve">Sustaining capital expenditure</w:t>
      </w:r>
    </w:p>
    <w:p>
      <w:pPr>
        <w:pStyle w:val="Compact"/>
        <w:numPr>
          <w:ilvl w:val="0"/>
          <w:numId w:val="1011"/>
        </w:numPr>
      </w:pPr>
      <w:r>
        <w:t xml:space="preserve">Expected share count</w:t>
      </w:r>
    </w:p>
    <w:p>
      <w:pPr>
        <w:pStyle w:val="FirstParagraph"/>
      </w:pPr>
      <w:r>
        <w:t xml:space="preserve">A clear bridge would make it easier to assess normalized AFFO per share for 2027.</w:t>
      </w:r>
    </w:p>
    <w:p>
      <w:r>
        <w:pict>
          <v:rect style="width:0;height:1.5pt" o:hralign="center" o:hrstd="t" o:hr="t"/>
        </w:pict>
      </w:r>
    </w:p>
    <w:bookmarkEnd w:id="21"/>
    <w:bookmarkStart w:id="22" w:name="X9847dbdef14ac4306bd79e73abbe31653bb2681"/>
    <w:p>
      <w:pPr>
        <w:pStyle w:val="Heading2"/>
      </w:pPr>
      <w:r>
        <w:t xml:space="preserve">5. Dividend coverage remains tight</w:t>
      </w:r>
    </w:p>
    <w:p>
      <w:pPr>
        <w:pStyle w:val="FirstParagraph"/>
      </w:pPr>
      <w:r>
        <w:t xml:space="preserve">CCI pays an annualized dividend of</w:t>
      </w:r>
      <w:r>
        <w:t xml:space="preserve"> </w:t>
      </w:r>
      <w:r>
        <w:rPr>
          <w:b/>
          <w:bCs/>
        </w:rPr>
        <w:t xml:space="preserve">$4.25 per share</w:t>
      </w:r>
      <w:r>
        <w:t xml:space="preserve">. Against the midpoint of 2026 AFFO guidance of $4.59, that represents a payout ratio of approximately</w:t>
      </w:r>
      <w:r>
        <w:t xml:space="preserve"> </w:t>
      </w:r>
      <w:r>
        <w:rPr>
          <w:b/>
          <w:bCs/>
        </w:rPr>
        <w:t xml:space="preserve">93%</w:t>
      </w:r>
      <w:r>
        <w:t xml:space="preserve">.</w:t>
      </w:r>
    </w:p>
    <w:p>
      <w:pPr>
        <w:pStyle w:val="BodyText"/>
      </w:pPr>
      <w:r>
        <w:t xml:space="preserve">Management has reiterated its intention to maintain the current dividend and expects AFFO growth to bring the payout ratio into its targeted range over the next several years. That makes the following particularly important:</w:t>
      </w:r>
    </w:p>
    <w:p>
      <w:pPr>
        <w:pStyle w:val="Compact"/>
        <w:numPr>
          <w:ilvl w:val="0"/>
          <w:numId w:val="1012"/>
        </w:numPr>
      </w:pPr>
      <w:r>
        <w:t xml:space="preserve">Confidence in the $2.1 billion post-close AFFO target</w:t>
      </w:r>
    </w:p>
    <w:p>
      <w:pPr>
        <w:pStyle w:val="Compact"/>
        <w:numPr>
          <w:ilvl w:val="0"/>
          <w:numId w:val="1012"/>
        </w:numPr>
      </w:pPr>
      <w:r>
        <w:t xml:space="preserve">The pace of AFFO-per-share growth in 2027 and 2028</w:t>
      </w:r>
    </w:p>
    <w:p>
      <w:pPr>
        <w:pStyle w:val="Compact"/>
        <w:numPr>
          <w:ilvl w:val="0"/>
          <w:numId w:val="1012"/>
        </w:numPr>
      </w:pPr>
      <w:r>
        <w:t xml:space="preserve">Whether additional cost savings are recurring</w:t>
      </w:r>
    </w:p>
    <w:p>
      <w:pPr>
        <w:pStyle w:val="Compact"/>
        <w:numPr>
          <w:ilvl w:val="0"/>
          <w:numId w:val="1012"/>
        </w:numPr>
      </w:pPr>
      <w:r>
        <w:t xml:space="preserve">Whether future leasing can outpace ordinary churn</w:t>
      </w:r>
    </w:p>
    <w:p>
      <w:pPr>
        <w:pStyle w:val="Compact"/>
        <w:numPr>
          <w:ilvl w:val="0"/>
          <w:numId w:val="1012"/>
        </w:numPr>
      </w:pPr>
      <w:r>
        <w:t xml:space="preserve">Whether capital spending must rise to achieve that growth</w:t>
      </w:r>
    </w:p>
    <w:p>
      <w:pPr>
        <w:pStyle w:val="FirstParagraph"/>
      </w:pPr>
      <w:r>
        <w:t xml:space="preserve">The dividend does not appear to be the immediate base-case risk, but there is little room for a prolonged operating shortfall. Management commentary around dividend coverage could therefore move the stock even if quarterly results are otherwise uneventful.</w:t>
      </w:r>
    </w:p>
    <w:p>
      <w:r>
        <w:pict>
          <v:rect style="width:0;height:1.5pt" o:hralign="center" o:hrstd="t" o:hr="t"/>
        </w:pict>
      </w:r>
    </w:p>
    <w:bookmarkEnd w:id="22"/>
    <w:bookmarkStart w:id="23" w:name="X09a8922fe7fe351b08d84295f4faf22787d3269"/>
    <w:p>
      <w:pPr>
        <w:pStyle w:val="Heading2"/>
      </w:pPr>
      <w:r>
        <w:t xml:space="preserve">6. Cost reductions and margin expansion</w:t>
      </w:r>
    </w:p>
    <w:p>
      <w:pPr>
        <w:pStyle w:val="FirstParagraph"/>
      </w:pPr>
      <w:r>
        <w:t xml:space="preserve">CCI reduced its tower and corporate workforce and expects:</w:t>
      </w:r>
    </w:p>
    <w:p>
      <w:pPr>
        <w:pStyle w:val="Compact"/>
        <w:numPr>
          <w:ilvl w:val="0"/>
          <w:numId w:val="1013"/>
        </w:numPr>
      </w:pPr>
      <w:r>
        <w:t xml:space="preserve">Approximately</w:t>
      </w:r>
      <w:r>
        <w:t xml:space="preserve"> </w:t>
      </w:r>
      <w:r>
        <w:rPr>
          <w:b/>
          <w:bCs/>
        </w:rPr>
        <w:t xml:space="preserve">$65 million of annualized run-rate cost savings</w:t>
      </w:r>
    </w:p>
    <w:p>
      <w:pPr>
        <w:pStyle w:val="Compact"/>
        <w:numPr>
          <w:ilvl w:val="0"/>
          <w:numId w:val="1013"/>
        </w:numPr>
      </w:pPr>
      <w:r>
        <w:t xml:space="preserve">Approximately</w:t>
      </w:r>
      <w:r>
        <w:t xml:space="preserve"> </w:t>
      </w:r>
      <w:r>
        <w:rPr>
          <w:b/>
          <w:bCs/>
        </w:rPr>
        <w:t xml:space="preserve">$55 million of savings during 2026</w:t>
      </w:r>
    </w:p>
    <w:p>
      <w:pPr>
        <w:pStyle w:val="Compact"/>
        <w:numPr>
          <w:ilvl w:val="0"/>
          <w:numId w:val="1013"/>
        </w:numPr>
      </w:pPr>
      <w:r>
        <w:t xml:space="preserve">More than</w:t>
      </w:r>
      <w:r>
        <w:t xml:space="preserve"> </w:t>
      </w:r>
      <w:r>
        <w:rPr>
          <w:b/>
          <w:bCs/>
        </w:rPr>
        <w:t xml:space="preserve">200 basis points of additional margin improvement</w:t>
      </w:r>
      <w:r>
        <w:t xml:space="preserve"> </w:t>
      </w:r>
      <w:r>
        <w:t xml:space="preserve">over the period extending toward 2030</w:t>
      </w:r>
    </w:p>
    <w:p>
      <w:pPr>
        <w:pStyle w:val="FirstParagraph"/>
      </w:pPr>
      <w:r>
        <w:t xml:space="preserve">The second quarter should show whether those reductions are translating into the P&amp;L without damaging customer service or slowing tower modifications.</w:t>
      </w:r>
    </w:p>
    <w:p>
      <w:pPr>
        <w:pStyle w:val="BodyText"/>
      </w:pPr>
      <w:r>
        <w:t xml:space="preserve">Watch:</w:t>
      </w:r>
    </w:p>
    <w:p>
      <w:pPr>
        <w:pStyle w:val="Compact"/>
        <w:numPr>
          <w:ilvl w:val="0"/>
          <w:numId w:val="1014"/>
        </w:numPr>
      </w:pPr>
      <w:r>
        <w:t xml:space="preserve">Site rental costs</w:t>
      </w:r>
    </w:p>
    <w:p>
      <w:pPr>
        <w:pStyle w:val="Compact"/>
        <w:numPr>
          <w:ilvl w:val="0"/>
          <w:numId w:val="1014"/>
        </w:numPr>
      </w:pPr>
      <w:r>
        <w:t xml:space="preserve">Selling, general and administrative expense</w:t>
      </w:r>
    </w:p>
    <w:p>
      <w:pPr>
        <w:pStyle w:val="Compact"/>
        <w:numPr>
          <w:ilvl w:val="0"/>
          <w:numId w:val="1014"/>
        </w:numPr>
      </w:pPr>
      <w:r>
        <w:t xml:space="preserve">Restructuring charges</w:t>
      </w:r>
    </w:p>
    <w:p>
      <w:pPr>
        <w:pStyle w:val="Compact"/>
        <w:numPr>
          <w:ilvl w:val="0"/>
          <w:numId w:val="1014"/>
        </w:numPr>
      </w:pPr>
      <w:r>
        <w:t xml:space="preserve">Adjusted EBITDA margin</w:t>
      </w:r>
    </w:p>
    <w:p>
      <w:pPr>
        <w:pStyle w:val="Compact"/>
        <w:numPr>
          <w:ilvl w:val="0"/>
          <w:numId w:val="1014"/>
        </w:numPr>
      </w:pPr>
      <w:r>
        <w:t xml:space="preserve">Customer application cycle times</w:t>
      </w:r>
    </w:p>
    <w:p>
      <w:pPr>
        <w:pStyle w:val="Compact"/>
        <w:numPr>
          <w:ilvl w:val="0"/>
          <w:numId w:val="1014"/>
        </w:numPr>
      </w:pPr>
      <w:r>
        <w:t xml:space="preserve">Whether management identifies additional stranded costs following the sale</w:t>
      </w:r>
    </w:p>
    <w:p>
      <w:pPr>
        <w:pStyle w:val="FirstParagraph"/>
      </w:pPr>
      <w:r>
        <w:t xml:space="preserve">A clean reduction in recurring overhead would support the thesis that a focused tower company can close part of the margin gap with peers.</w:t>
      </w:r>
    </w:p>
    <w:p>
      <w:r>
        <w:pict>
          <v:rect style="width:0;height:1.5pt" o:hralign="center" o:hrstd="t" o:hr="t"/>
        </w:pict>
      </w:r>
    </w:p>
    <w:bookmarkEnd w:id="23"/>
    <w:bookmarkStart w:id="24" w:name="Xa9feb49bd15d56cfba5346115be5d5a6d23abbc"/>
    <w:p>
      <w:pPr>
        <w:pStyle w:val="Heading2"/>
      </w:pPr>
      <w:r>
        <w:t xml:space="preserve">7. Capital spending and land ownership</w:t>
      </w:r>
    </w:p>
    <w:p>
      <w:pPr>
        <w:pStyle w:val="FirstParagraph"/>
      </w:pPr>
      <w:r>
        <w:t xml:space="preserve">CCI is increasing investment in the land beneath its towers and in systems and automation. First-quarter land purchases rose to</w:t>
      </w:r>
      <w:r>
        <w:t xml:space="preserve"> </w:t>
      </w:r>
      <w:r>
        <w:rPr>
          <w:b/>
          <w:bCs/>
        </w:rPr>
        <w:t xml:space="preserve">$32 million</w:t>
      </w:r>
      <w:r>
        <w:t xml:space="preserve">, versus $18 million a year earlier.</w:t>
      </w:r>
    </w:p>
    <w:p>
      <w:pPr>
        <w:pStyle w:val="BodyText"/>
      </w:pPr>
      <w:r>
        <w:t xml:space="preserve">Management currently owns the land beneath roughly 30% of its towers and has discussed increasing that toward 40% over several years. Owning more land can:</w:t>
      </w:r>
    </w:p>
    <w:p>
      <w:pPr>
        <w:pStyle w:val="Compact"/>
        <w:numPr>
          <w:ilvl w:val="0"/>
          <w:numId w:val="1015"/>
        </w:numPr>
      </w:pPr>
      <w:r>
        <w:t xml:space="preserve">Reduce ground-rent expense</w:t>
      </w:r>
    </w:p>
    <w:p>
      <w:pPr>
        <w:pStyle w:val="Compact"/>
        <w:numPr>
          <w:ilvl w:val="0"/>
          <w:numId w:val="1015"/>
        </w:numPr>
      </w:pPr>
      <w:r>
        <w:t xml:space="preserve">Improve long-term operating control</w:t>
      </w:r>
    </w:p>
    <w:p>
      <w:pPr>
        <w:pStyle w:val="Compact"/>
        <w:numPr>
          <w:ilvl w:val="0"/>
          <w:numId w:val="1015"/>
        </w:numPr>
      </w:pPr>
      <w:r>
        <w:t xml:space="preserve">Lower lease-renewal risk</w:t>
      </w:r>
    </w:p>
    <w:p>
      <w:pPr>
        <w:pStyle w:val="Compact"/>
        <w:numPr>
          <w:ilvl w:val="0"/>
          <w:numId w:val="1015"/>
        </w:numPr>
      </w:pPr>
      <w:r>
        <w:t xml:space="preserve">Increase tower-level margins</w:t>
      </w:r>
    </w:p>
    <w:p>
      <w:pPr>
        <w:pStyle w:val="Compact"/>
        <w:numPr>
          <w:ilvl w:val="0"/>
          <w:numId w:val="1015"/>
        </w:numPr>
      </w:pPr>
      <w:r>
        <w:t xml:space="preserve">Improve responsiveness to customer modifications</w:t>
      </w:r>
    </w:p>
    <w:p>
      <w:pPr>
        <w:pStyle w:val="FirstParagraph"/>
      </w:pPr>
      <w:r>
        <w:t xml:space="preserve">Investors should examine whether higher capital spending is producing attractive returns rather than simply supporting near-term reported margins. Commentary on purchase multiples, expected yields and the number of acquired land interests would be helpful.</w:t>
      </w:r>
    </w:p>
    <w:p>
      <w:r>
        <w:pict>
          <v:rect style="width:0;height:1.5pt" o:hralign="center" o:hrstd="t" o:hr="t"/>
        </w:pict>
      </w:r>
    </w:p>
    <w:bookmarkEnd w:id="24"/>
    <w:bookmarkStart w:id="25" w:name="X01806d6cf72f24a4d165d060252f7e31d3c80eb"/>
    <w:p>
      <w:pPr>
        <w:pStyle w:val="Heading2"/>
      </w:pPr>
      <w:r>
        <w:t xml:space="preserve">8. DISH litigation is upside optionality, not part of the base case</w:t>
      </w:r>
    </w:p>
    <w:p>
      <w:pPr>
        <w:pStyle w:val="FirstParagraph"/>
      </w:pPr>
      <w:r>
        <w:t xml:space="preserve">CCI terminated its DISH agreements after an alleged payment default and is pursuing claims against both DISH and EchoStar. Management has said it believes it has a strong case but has also cautioned that a legal outcome could take at least a year.</w:t>
      </w:r>
    </w:p>
    <w:p>
      <w:pPr>
        <w:pStyle w:val="BodyText"/>
      </w:pPr>
      <w:r>
        <w:t xml:space="preserve">The 2026 outlook assumes</w:t>
      </w:r>
      <w:r>
        <w:t xml:space="preserve"> </w:t>
      </w:r>
      <w:r>
        <w:rPr>
          <w:b/>
          <w:bCs/>
        </w:rPr>
        <w:t xml:space="preserve">no DISH revenue</w:t>
      </w:r>
      <w:r>
        <w:t xml:space="preserve">, including roughly</w:t>
      </w:r>
      <w:r>
        <w:t xml:space="preserve"> </w:t>
      </w:r>
      <w:r>
        <w:rPr>
          <w:b/>
          <w:bCs/>
        </w:rPr>
        <w:t xml:space="preserve">$220 million of terminations</w:t>
      </w:r>
      <w:r>
        <w:t xml:space="preserve">.</w:t>
      </w:r>
    </w:p>
    <w:p>
      <w:pPr>
        <w:pStyle w:val="BodyText"/>
      </w:pPr>
      <w:r>
        <w:t xml:space="preserve">Investors should therefore treat a recovery as potential upside rather than embed it in recurring earnings. Relevant updates would include:</w:t>
      </w:r>
    </w:p>
    <w:p>
      <w:pPr>
        <w:pStyle w:val="Compact"/>
        <w:numPr>
          <w:ilvl w:val="0"/>
          <w:numId w:val="1016"/>
        </w:numPr>
      </w:pPr>
      <w:r>
        <w:t xml:space="preserve">Procedural developments</w:t>
      </w:r>
    </w:p>
    <w:p>
      <w:pPr>
        <w:pStyle w:val="Compact"/>
        <w:numPr>
          <w:ilvl w:val="0"/>
          <w:numId w:val="1016"/>
        </w:numPr>
      </w:pPr>
      <w:r>
        <w:t xml:space="preserve">Settlement discussions</w:t>
      </w:r>
    </w:p>
    <w:p>
      <w:pPr>
        <w:pStyle w:val="Compact"/>
        <w:numPr>
          <w:ilvl w:val="0"/>
          <w:numId w:val="1016"/>
        </w:numPr>
      </w:pPr>
      <w:r>
        <w:t xml:space="preserve">Any government or regulatory involvement</w:t>
      </w:r>
    </w:p>
    <w:p>
      <w:pPr>
        <w:pStyle w:val="Compact"/>
        <w:numPr>
          <w:ilvl w:val="0"/>
          <w:numId w:val="1016"/>
        </w:numPr>
      </w:pPr>
      <w:r>
        <w:t xml:space="preserve">Whether CCI is seeking recurring contractual payments, damages or a negotiated lump sum</w:t>
      </w:r>
    </w:p>
    <w:p>
      <w:pPr>
        <w:pStyle w:val="FirstParagraph"/>
      </w:pPr>
      <w:r>
        <w:t xml:space="preserve">The lack of a near-term update should not be interpreted negatively. A favorable recovery would be meaningful, but it is unlikely to be the core driver of the quarter.</w:t>
      </w:r>
    </w:p>
    <w:p>
      <w:r>
        <w:pict>
          <v:rect style="width:0;height:1.5pt" o:hralign="center" o:hrstd="t" o:hr="t"/>
        </w:pict>
      </w:r>
    </w:p>
    <w:bookmarkEnd w:id="25"/>
    <w:bookmarkStart w:id="28" w:name="additional-call-topics"/>
    <w:p>
      <w:pPr>
        <w:pStyle w:val="Heading2"/>
      </w:pPr>
      <w:r>
        <w:t xml:space="preserve">Additional call topics</w:t>
      </w:r>
    </w:p>
    <w:bookmarkStart w:id="26" w:name="carrier-spending-and-spectrum-deployment"/>
    <w:p>
      <w:pPr>
        <w:pStyle w:val="Heading3"/>
      </w:pPr>
      <w:r>
        <w:t xml:space="preserve">Carrier spending and spectrum deployment</w:t>
      </w:r>
    </w:p>
    <w:p>
      <w:pPr>
        <w:pStyle w:val="FirstParagraph"/>
      </w:pPr>
      <w:r>
        <w:t xml:space="preserve">Management has described customer growth as second-half weighted and pointed to:</w:t>
      </w:r>
    </w:p>
    <w:p>
      <w:pPr>
        <w:pStyle w:val="Compact"/>
        <w:numPr>
          <w:ilvl w:val="0"/>
          <w:numId w:val="1017"/>
        </w:numPr>
      </w:pPr>
      <w:r>
        <w:t xml:space="preserve">Continued 5G densification</w:t>
      </w:r>
    </w:p>
    <w:p>
      <w:pPr>
        <w:pStyle w:val="Compact"/>
        <w:numPr>
          <w:ilvl w:val="0"/>
          <w:numId w:val="1017"/>
        </w:numPr>
      </w:pPr>
      <w:r>
        <w:t xml:space="preserve">Fixed-wireless capacity requirements</w:t>
      </w:r>
    </w:p>
    <w:p>
      <w:pPr>
        <w:pStyle w:val="Compact"/>
        <w:numPr>
          <w:ilvl w:val="0"/>
          <w:numId w:val="1017"/>
        </w:numPr>
      </w:pPr>
      <w:r>
        <w:t xml:space="preserve">Potential deployment of spectrum previously controlled by EchoStar/DISH</w:t>
      </w:r>
    </w:p>
    <w:p>
      <w:pPr>
        <w:pStyle w:val="Compact"/>
        <w:numPr>
          <w:ilvl w:val="0"/>
          <w:numId w:val="1017"/>
        </w:numPr>
      </w:pPr>
      <w:r>
        <w:t xml:space="preserve">More than 800 MHz of anticipated spectrum auctions beginning in 2027</w:t>
      </w:r>
    </w:p>
    <w:p>
      <w:pPr>
        <w:pStyle w:val="FirstParagraph"/>
      </w:pPr>
      <w:r>
        <w:t xml:space="preserve">Investors will want evidence that carrier discussions are turning into signed applications rather than remaining long-term opportunities.</w:t>
      </w:r>
    </w:p>
    <w:bookmarkEnd w:id="26"/>
    <w:bookmarkStart w:id="27" w:name="new-products"/>
    <w:p>
      <w:pPr>
        <w:pStyle w:val="Heading3"/>
      </w:pPr>
      <w:r>
        <w:t xml:space="preserve">New products</w:t>
      </w:r>
    </w:p>
    <w:p>
      <w:pPr>
        <w:pStyle w:val="FirstParagraph"/>
      </w:pPr>
      <w:r>
        <w:t xml:space="preserve">CCI has discussed several incremental opportunities:</w:t>
      </w:r>
    </w:p>
    <w:p>
      <w:pPr>
        <w:pStyle w:val="Compact"/>
        <w:numPr>
          <w:ilvl w:val="0"/>
          <w:numId w:val="1018"/>
        </w:numPr>
      </w:pPr>
      <w:r>
        <w:t xml:space="preserve">Turnkey tower services</w:t>
      </w:r>
    </w:p>
    <w:p>
      <w:pPr>
        <w:pStyle w:val="Compact"/>
        <w:numPr>
          <w:ilvl w:val="0"/>
          <w:numId w:val="1018"/>
        </w:numPr>
      </w:pPr>
      <w:r>
        <w:t xml:space="preserve">New tower construction</w:t>
      </w:r>
    </w:p>
    <w:p>
      <w:pPr>
        <w:pStyle w:val="Compact"/>
        <w:numPr>
          <w:ilvl w:val="0"/>
          <w:numId w:val="1018"/>
        </w:numPr>
      </w:pPr>
      <w:r>
        <w:t xml:space="preserve">Power-as-a-service and shared generators</w:t>
      </w:r>
    </w:p>
    <w:p>
      <w:pPr>
        <w:pStyle w:val="Compact"/>
        <w:numPr>
          <w:ilvl w:val="0"/>
          <w:numId w:val="1018"/>
        </w:numPr>
      </w:pPr>
      <w:r>
        <w:t xml:space="preserve">Edge-computing space at existing tower sites</w:t>
      </w:r>
    </w:p>
    <w:p>
      <w:pPr>
        <w:pStyle w:val="FirstParagraph"/>
      </w:pPr>
      <w:r>
        <w:t xml:space="preserve">These initiatives are strategically interesting but should not yet receive much valuation credit. Management characterized edge computing as being in the trial phase, and new tower construction is expected to begin at small volumes.</w:t>
      </w:r>
    </w:p>
    <w:p>
      <w:pPr>
        <w:pStyle w:val="BodyText"/>
      </w:pPr>
      <w:r>
        <w:t xml:space="preserve">The priority should remain improving the returns and operating performance of the existing 40,000-tower portfolio.</w:t>
      </w:r>
    </w:p>
    <w:p>
      <w:r>
        <w:pict>
          <v:rect style="width:0;height:1.5pt" o:hralign="center" o:hrstd="t" o:hr="t"/>
        </w:pict>
      </w:r>
    </w:p>
    <w:bookmarkEnd w:id="27"/>
    <w:bookmarkEnd w:id="28"/>
    <w:bookmarkStart w:id="32" w:name="scenario-framework"/>
    <w:p>
      <w:pPr>
        <w:pStyle w:val="Heading2"/>
      </w:pPr>
      <w:r>
        <w:t xml:space="preserve">Scenario framework</w:t>
      </w:r>
    </w:p>
    <w:bookmarkStart w:id="29" w:name="bull-case"/>
    <w:p>
      <w:pPr>
        <w:pStyle w:val="Heading3"/>
      </w:pPr>
      <w:r>
        <w:t xml:space="preserve">Bull case</w:t>
      </w:r>
    </w:p>
    <w:p>
      <w:pPr>
        <w:pStyle w:val="FirstParagraph"/>
      </w:pPr>
      <w:r>
        <w:t xml:space="preserve">The stock could respond favorably if CCI reports:</w:t>
      </w:r>
    </w:p>
    <w:p>
      <w:pPr>
        <w:pStyle w:val="Compact"/>
        <w:numPr>
          <w:ilvl w:val="0"/>
          <w:numId w:val="1019"/>
        </w:numPr>
      </w:pPr>
      <w:r>
        <w:t xml:space="preserve">Adjusted organic growth at or above the 3.5% full-year target</w:t>
      </w:r>
    </w:p>
    <w:p>
      <w:pPr>
        <w:pStyle w:val="Compact"/>
        <w:numPr>
          <w:ilvl w:val="0"/>
          <w:numId w:val="1019"/>
        </w:numPr>
      </w:pPr>
      <w:r>
        <w:t xml:space="preserve">Improving core leasing and a stronger second-half backlog</w:t>
      </w:r>
    </w:p>
    <w:p>
      <w:pPr>
        <w:pStyle w:val="Compact"/>
        <w:numPr>
          <w:ilvl w:val="0"/>
          <w:numId w:val="1019"/>
        </w:numPr>
      </w:pPr>
      <w:r>
        <w:t xml:space="preserve">Substantial completion of the $7 billion-plus debt repayment</w:t>
      </w:r>
    </w:p>
    <w:p>
      <w:pPr>
        <w:pStyle w:val="Compact"/>
        <w:numPr>
          <w:ilvl w:val="0"/>
          <w:numId w:val="1019"/>
        </w:numPr>
      </w:pPr>
      <w:r>
        <w:t xml:space="preserve">Significant progress on the $1 billion buyback</w:t>
      </w:r>
    </w:p>
    <w:p>
      <w:pPr>
        <w:pStyle w:val="Compact"/>
        <w:numPr>
          <w:ilvl w:val="0"/>
          <w:numId w:val="1019"/>
        </w:numPr>
      </w:pPr>
      <w:r>
        <w:t xml:space="preserve">Lower recurring interest expense</w:t>
      </w:r>
    </w:p>
    <w:p>
      <w:pPr>
        <w:pStyle w:val="Compact"/>
        <w:numPr>
          <w:ilvl w:val="0"/>
          <w:numId w:val="1019"/>
        </w:numPr>
      </w:pPr>
      <w:r>
        <w:t xml:space="preserve">Full-year guidance maintained or increased</w:t>
      </w:r>
    </w:p>
    <w:p>
      <w:pPr>
        <w:pStyle w:val="Compact"/>
        <w:numPr>
          <w:ilvl w:val="0"/>
          <w:numId w:val="1019"/>
        </w:numPr>
      </w:pPr>
      <w:r>
        <w:t xml:space="preserve">A confident bridge to at least $2.1 billion of post-close AFFO</w:t>
      </w:r>
    </w:p>
    <w:p>
      <w:pPr>
        <w:pStyle w:val="Compact"/>
        <w:numPr>
          <w:ilvl w:val="0"/>
          <w:numId w:val="1019"/>
        </w:numPr>
      </w:pPr>
      <w:r>
        <w:t xml:space="preserve">Evidence that cost savings are recurring rather than merely timing-related</w:t>
      </w:r>
    </w:p>
    <w:p>
      <w:pPr>
        <w:pStyle w:val="FirstParagraph"/>
      </w:pPr>
      <w:r>
        <w:t xml:space="preserve">The strongest version of the bull case would combine better tower leasing with faster deleveraging and buyback accretion.</w:t>
      </w:r>
    </w:p>
    <w:bookmarkEnd w:id="29"/>
    <w:bookmarkStart w:id="30" w:name="base-case"/>
    <w:p>
      <w:pPr>
        <w:pStyle w:val="Heading3"/>
      </w:pPr>
      <w:r>
        <w:t xml:space="preserve">Base case</w:t>
      </w:r>
    </w:p>
    <w:p>
      <w:pPr>
        <w:pStyle w:val="FirstParagraph"/>
      </w:pPr>
      <w:r>
        <w:t xml:space="preserve">A neutral-to-modestly positive report would include:</w:t>
      </w:r>
    </w:p>
    <w:p>
      <w:pPr>
        <w:pStyle w:val="Compact"/>
        <w:numPr>
          <w:ilvl w:val="0"/>
          <w:numId w:val="1020"/>
        </w:numPr>
      </w:pPr>
      <w:r>
        <w:t xml:space="preserve">Adjusted organic growth around 3.3%–3.5%</w:t>
      </w:r>
    </w:p>
    <w:p>
      <w:pPr>
        <w:pStyle w:val="Compact"/>
        <w:numPr>
          <w:ilvl w:val="0"/>
          <w:numId w:val="1020"/>
        </w:numPr>
      </w:pPr>
      <w:r>
        <w:t xml:space="preserve">Reported revenue still pressured by DISH and Sprint</w:t>
      </w:r>
    </w:p>
    <w:p>
      <w:pPr>
        <w:pStyle w:val="Compact"/>
        <w:numPr>
          <w:ilvl w:val="0"/>
          <w:numId w:val="1020"/>
        </w:numPr>
      </w:pPr>
      <w:r>
        <w:t xml:space="preserve">Guidance reiterated</w:t>
      </w:r>
    </w:p>
    <w:p>
      <w:pPr>
        <w:pStyle w:val="Compact"/>
        <w:numPr>
          <w:ilvl w:val="0"/>
          <w:numId w:val="1020"/>
        </w:numPr>
      </w:pPr>
      <w:r>
        <w:t xml:space="preserve">Debt repayment largely on schedule</w:t>
      </w:r>
    </w:p>
    <w:p>
      <w:pPr>
        <w:pStyle w:val="Compact"/>
        <w:numPr>
          <w:ilvl w:val="0"/>
          <w:numId w:val="1020"/>
        </w:numPr>
      </w:pPr>
      <w:r>
        <w:t xml:space="preserve">Buyback underway but not necessarily complete</w:t>
      </w:r>
    </w:p>
    <w:p>
      <w:pPr>
        <w:pStyle w:val="Compact"/>
        <w:numPr>
          <w:ilvl w:val="0"/>
          <w:numId w:val="1020"/>
        </w:numPr>
      </w:pPr>
      <w:r>
        <w:t xml:space="preserve">No material DISH litigation development</w:t>
      </w:r>
    </w:p>
    <w:p>
      <w:pPr>
        <w:pStyle w:val="Compact"/>
        <w:numPr>
          <w:ilvl w:val="0"/>
          <w:numId w:val="1020"/>
        </w:numPr>
      </w:pPr>
      <w:r>
        <w:t xml:space="preserve">Management maintaining its second-half leasing expectations</w:t>
      </w:r>
    </w:p>
    <w:p>
      <w:pPr>
        <w:pStyle w:val="FirstParagraph"/>
      </w:pPr>
      <w:r>
        <w:t xml:space="preserve">Given the stock’s recent weakness, a clean, uneventful quarter could be enough to stabilize sentiment.</w:t>
      </w:r>
    </w:p>
    <w:bookmarkEnd w:id="30"/>
    <w:bookmarkStart w:id="31" w:name="bear-case"/>
    <w:p>
      <w:pPr>
        <w:pStyle w:val="Heading3"/>
      </w:pPr>
      <w:r>
        <w:t xml:space="preserve">Bear case</w:t>
      </w:r>
    </w:p>
    <w:p>
      <w:pPr>
        <w:pStyle w:val="FirstParagraph"/>
      </w:pPr>
      <w:r>
        <w:t xml:space="preserve">The most concerning outcomes would be:</w:t>
      </w:r>
    </w:p>
    <w:p>
      <w:pPr>
        <w:pStyle w:val="Compact"/>
        <w:numPr>
          <w:ilvl w:val="0"/>
          <w:numId w:val="1021"/>
        </w:numPr>
      </w:pPr>
      <w:r>
        <w:t xml:space="preserve">Another slowdown in core leasing</w:t>
      </w:r>
    </w:p>
    <w:p>
      <w:pPr>
        <w:pStyle w:val="Compact"/>
        <w:numPr>
          <w:ilvl w:val="0"/>
          <w:numId w:val="1021"/>
        </w:numPr>
      </w:pPr>
      <w:r>
        <w:t xml:space="preserve">Reduced full-year adjusted organic-growth guidance</w:t>
      </w:r>
    </w:p>
    <w:p>
      <w:pPr>
        <w:pStyle w:val="Compact"/>
        <w:numPr>
          <w:ilvl w:val="0"/>
          <w:numId w:val="1021"/>
        </w:numPr>
      </w:pPr>
      <w:r>
        <w:t xml:space="preserve">Cost savings offset by service problems or higher recurring expenses</w:t>
      </w:r>
    </w:p>
    <w:p>
      <w:pPr>
        <w:pStyle w:val="Compact"/>
        <w:numPr>
          <w:ilvl w:val="0"/>
          <w:numId w:val="1021"/>
        </w:numPr>
      </w:pPr>
      <w:r>
        <w:t xml:space="preserve">Delays or unexpected leakage in deploying sale proceeds</w:t>
      </w:r>
    </w:p>
    <w:p>
      <w:pPr>
        <w:pStyle w:val="Compact"/>
        <w:numPr>
          <w:ilvl w:val="0"/>
          <w:numId w:val="1021"/>
        </w:numPr>
      </w:pPr>
      <w:r>
        <w:t xml:space="preserve">Less interest savings than assumed</w:t>
      </w:r>
    </w:p>
    <w:p>
      <w:pPr>
        <w:pStyle w:val="Compact"/>
        <w:numPr>
          <w:ilvl w:val="0"/>
          <w:numId w:val="1021"/>
        </w:numPr>
      </w:pPr>
      <w:r>
        <w:t xml:space="preserve">A lower post-close AFFO expectation</w:t>
      </w:r>
    </w:p>
    <w:p>
      <w:pPr>
        <w:pStyle w:val="Compact"/>
        <w:numPr>
          <w:ilvl w:val="0"/>
          <w:numId w:val="1021"/>
        </w:numPr>
      </w:pPr>
      <w:r>
        <w:t xml:space="preserve">Increased uncertainty around dividend coverage</w:t>
      </w:r>
    </w:p>
    <w:p>
      <w:pPr>
        <w:pStyle w:val="Compact"/>
        <w:numPr>
          <w:ilvl w:val="0"/>
          <w:numId w:val="1021"/>
        </w:numPr>
      </w:pPr>
      <w:r>
        <w:t xml:space="preserve">Management pushing the anticipated leasing recovery further into 2027</w:t>
      </w:r>
    </w:p>
    <w:p>
      <w:pPr>
        <w:pStyle w:val="FirstParagraph"/>
      </w:pPr>
      <w:r>
        <w:t xml:space="preserve">A small quarterly AFFO miss would matter less than any evidence that normalized post-sale AFFO is below expectations.</w:t>
      </w:r>
    </w:p>
    <w:p>
      <w:r>
        <w:pict>
          <v:rect style="width:0;height:1.5pt" o:hralign="center" o:hrstd="t" o:hr="t"/>
        </w:pict>
      </w:r>
    </w:p>
    <w:bookmarkEnd w:id="31"/>
    <w:bookmarkEnd w:id="32"/>
    <w:bookmarkStart w:id="33" w:name="bottom-line"/>
    <w:p>
      <w:pPr>
        <w:pStyle w:val="Heading2"/>
      </w:pPr>
      <w:r>
        <w:t xml:space="preserve">Bottom line</w:t>
      </w:r>
    </w:p>
    <w:p>
      <w:pPr>
        <w:pStyle w:val="FirstParagraph"/>
      </w:pPr>
      <w:r>
        <w:t xml:space="preserve">CCI enters the report with a simpler business, lower prospective leverage and a discounted share price—but also with weak reported growth and a dividend consuming most of expected AFFO.</w:t>
      </w:r>
    </w:p>
    <w:p>
      <w:pPr>
        <w:pStyle w:val="BodyText"/>
      </w:pPr>
      <w:r>
        <w:t xml:space="preserve">The key test is whether management can move the investment debate from</w:t>
      </w:r>
      <w:r>
        <w:t xml:space="preserve"> </w:t>
      </w:r>
      <w:r>
        <w:rPr>
          <w:b/>
          <w:bCs/>
        </w:rPr>
        <w:t xml:space="preserve">transaction completion</w:t>
      </w:r>
      <w:r>
        <w:t xml:space="preserve"> </w:t>
      </w:r>
      <w:r>
        <w:t xml:space="preserve">to</w:t>
      </w:r>
      <w:r>
        <w:t xml:space="preserve"> </w:t>
      </w:r>
      <w:r>
        <w:rPr>
          <w:b/>
          <w:bCs/>
        </w:rPr>
        <w:t xml:space="preserve">repeatable per-share growth</w:t>
      </w:r>
      <w:r>
        <w:t xml:space="preserve">. The most important indicators will be adjusted organic tower growth, capital-allocation execution and the credibility of the approximately $2.1 billion post-close AFFO target.</w:t>
      </w:r>
    </w:p>
    <w:p>
      <w:pPr>
        <w:pStyle w:val="BodyText"/>
      </w:pPr>
      <w:r>
        <w:rPr>
          <w:b/>
          <w:bCs/>
        </w:rPr>
        <w:t xml:space="preserve">What would change the narrative:</w:t>
      </w:r>
      <w:r>
        <w:t xml:space="preserve"> </w:t>
      </w:r>
      <w:r>
        <w:t xml:space="preserve">improving core leasing plus a clean post-sale balance sheet.</w:t>
      </w:r>
    </w:p>
    <w:p>
      <w:pPr>
        <w:pStyle w:val="BodyText"/>
      </w:pPr>
      <w:r>
        <w:rPr>
          <w:b/>
          <w:bCs/>
        </w:rPr>
        <w:t xml:space="preserve">What would undermine it:</w:t>
      </w:r>
      <w:r>
        <w:t xml:space="preserve"> </w:t>
      </w:r>
      <w:r>
        <w:t xml:space="preserve">another leasing slowdown or any reduction in normalized AFFO expectations.</w:t>
      </w:r>
    </w:p>
    <w:p>
      <w:pPr>
        <w:pStyle w:val="BodyText"/>
      </w:pPr>
      <w:r>
        <w:rPr>
          <w:i/>
          <w:iCs/>
        </w:rPr>
        <w:t xml:space="preserve">Research basis: CCI’s 1Q26 earnings release and conference call, 1Q26 Form 10-Q, May 1 transaction-closing and guidance update, related Form 8-K filings, and the June 30 earnings-call notice.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2026-07-22T00:46:35Z</dcterms:created>
  <dcterms:modified xsi:type="dcterms:W3CDTF">2026-07-22T00:46:35Z</dcterms:modified>
</cp:coreProperties>
</file>

<file path=docProps/custom.xml><?xml version="1.0" encoding="utf-8"?>
<Properties xmlns="http://schemas.openxmlformats.org/officeDocument/2006/custom-properties" xmlns:vt="http://schemas.openxmlformats.org/officeDocument/2006/docPropsVTypes"/>
</file>