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334e76fab0474abfcfcb92c83783f6d84a72be3"/>
    <w:p>
      <w:pPr>
        <w:pStyle w:val="Heading1"/>
      </w:pPr>
      <w:r>
        <w:t xml:space="preserve">Crown Castle (NYSE: CCI) — 2Q26 Earnings Preview</w:t>
      </w:r>
    </w:p>
    <w:p>
      <w:pPr>
        <w:pStyle w:val="BlockText"/>
      </w:pPr>
      <w:r>
        <w:rPr>
          <w:b/>
          <w:bCs/>
        </w:rPr>
        <w:t xml:space="preserve">Date clarification:</w:t>
      </w:r>
      <w:r>
        <w:t xml:space="preserve"> </w:t>
      </w:r>
      <w:r>
        <w:t xml:space="preserve">July 22, 2026 is</w:t>
      </w:r>
      <w:r>
        <w:t xml:space="preserve"> </w:t>
      </w:r>
      <w:r>
        <w:rPr>
          <w:b/>
          <w:bCs/>
        </w:rPr>
        <w:t xml:space="preserve">today</w:t>
      </w:r>
      <w:r>
        <w:t xml:space="preserve">, not tomorrow. This preview is framed ahead of CCI’s scheduled 2Q26 earnings event on</w:t>
      </w:r>
      <w:r>
        <w:t xml:space="preserve"> </w:t>
      </w:r>
      <w:r>
        <w:rPr>
          <w:b/>
          <w:bCs/>
        </w:rPr>
        <w:t xml:space="preserve">July 22, 2026</w:t>
      </w:r>
      <w:r>
        <w:t xml:space="preserve">.</w:t>
      </w:r>
    </w:p>
    <w:bookmarkStart w:id="9" w:name="X322f82444983b5acca00663ca35e829ef6ee307"/>
    <w:p>
      <w:pPr>
        <w:pStyle w:val="Heading2"/>
      </w:pPr>
      <w:r>
        <w:t xml:space="preserve">Investment framing: the first clean quarter as a pure-play tower company</w:t>
      </w:r>
    </w:p>
    <w:p>
      <w:pPr>
        <w:pStyle w:val="FirstParagraph"/>
      </w:pPr>
      <w:r>
        <w:t xml:space="preserve">Crown Castle enters 2Q26 having completed the sale of its Fiber Solutions and Small Cell businesses on</w:t>
      </w:r>
      <w:r>
        <w:t xml:space="preserve"> </w:t>
      </w:r>
      <w:r>
        <w:rPr>
          <w:b/>
          <w:bCs/>
        </w:rPr>
        <w:t xml:space="preserve">May 1</w:t>
      </w:r>
      <w:r>
        <w:t xml:space="preserve"> </w:t>
      </w:r>
      <w:r>
        <w:t xml:space="preserve">for approximately</w:t>
      </w:r>
      <w:r>
        <w:t xml:space="preserve"> </w:t>
      </w:r>
      <w:r>
        <w:rPr>
          <w:b/>
          <w:bCs/>
        </w:rPr>
        <w:t xml:space="preserve">$8.4 billion of net preliminary proceeds</w:t>
      </w:r>
      <w:r>
        <w:t xml:space="preserve">. The company is now a U.S.-only, pure-play tower operator with roughly 40,000 towers. The report should therefore be less about the divestiture itself and more about whether the new CCI can deliver on its three-part equity story:</w:t>
      </w:r>
    </w:p>
    <w:p>
      <w:pPr>
        <w:pStyle w:val="Compact"/>
        <w:numPr>
          <w:ilvl w:val="0"/>
          <w:numId w:val="1001"/>
        </w:numPr>
      </w:pPr>
      <w:r>
        <w:rPr>
          <w:b/>
          <w:bCs/>
        </w:rPr>
        <w:t xml:space="preserve">Stabilize underlying tower organic growth</w:t>
      </w:r>
      <w:r>
        <w:t xml:space="preserve"> </w:t>
      </w:r>
      <w:r>
        <w:t xml:space="preserve">despite the DISH contract termination and remaining Sprint churn;</w:t>
      </w:r>
    </w:p>
    <w:p>
      <w:pPr>
        <w:pStyle w:val="Compact"/>
        <w:numPr>
          <w:ilvl w:val="0"/>
          <w:numId w:val="1001"/>
        </w:numPr>
      </w:pPr>
      <w:r>
        <w:rPr>
          <w:b/>
          <w:bCs/>
        </w:rPr>
        <w:t xml:space="preserve">Convert divestiture proceeds into lower leverage, lower interest expense, and accretive buybacks</w:t>
      </w:r>
      <w:r>
        <w:t xml:space="preserve">; and</w:t>
      </w:r>
    </w:p>
    <w:p>
      <w:pPr>
        <w:pStyle w:val="Compact"/>
        <w:numPr>
          <w:ilvl w:val="0"/>
          <w:numId w:val="1001"/>
        </w:numPr>
      </w:pPr>
      <w:r>
        <w:rPr>
          <w:b/>
          <w:bCs/>
        </w:rPr>
        <w:t xml:space="preserve">Close the operational and margin gap with tower peers</w:t>
      </w:r>
      <w:r>
        <w:t xml:space="preserve"> </w:t>
      </w:r>
      <w:r>
        <w:t xml:space="preserve">through restructuring, systems modernization, and land-under-tower purchases.</w:t>
      </w:r>
    </w:p>
    <w:p>
      <w:pPr>
        <w:pStyle w:val="FirstParagraph"/>
      </w:pPr>
      <w:r>
        <w:t xml:space="preserve">The core issue for investors is that the company’s improved 2026 AFFO outlook is driven principally by earlier debt repayment—not better leasing guidance. A solid quarter therefore requires evidence that underlying leasing is tracking toward the stated recovery path, while balance-sheet actions are being executed as planned.</w:t>
      </w:r>
    </w:p>
    <w:bookmarkEnd w:id="9"/>
    <w:bookmarkStart w:id="10" w:name="what-is-already-in-guidance"/>
    <w:p>
      <w:pPr>
        <w:pStyle w:val="Heading2"/>
      </w:pPr>
      <w:r>
        <w:t xml:space="preserve">What is already in guidance</w:t>
      </w:r>
    </w:p>
    <w:p>
      <w:pPr>
        <w:pStyle w:val="FirstParagraph"/>
      </w:pPr>
      <w:r>
        <w:t xml:space="preserve">Following the May 1 divestiture close, CCI raised its 2026 outlook due to two additional months of interest savings and interest income. Importantly, the</w:t>
      </w:r>
      <w:r>
        <w:t xml:space="preserve"> </w:t>
      </w:r>
      <w:r>
        <w:rPr>
          <w:b/>
          <w:bCs/>
        </w:rPr>
        <w:t xml:space="preserve">tower operating outlook itself was unchanged</w:t>
      </w:r>
      <w:r>
        <w:t xml:space="preserve">.</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2026 outlook</w:t>
            </w:r>
          </w:p>
        </w:tc>
        <w:tc>
          <w:tcPr/>
          <w:p>
            <w:pPr>
              <w:pStyle w:val="Compact"/>
              <w:jc w:val="right"/>
            </w:pPr>
            <w:r>
              <w:t xml:space="preserve">Current range</w:t>
            </w:r>
          </w:p>
        </w:tc>
        <w:tc>
          <w:tcPr/>
          <w:p>
            <w:pPr>
              <w:pStyle w:val="Compact"/>
              <w:jc w:val="right"/>
            </w:pPr>
            <w:r>
              <w:t xml:space="preserve">Midpoint</w:t>
            </w:r>
          </w:p>
        </w:tc>
        <w:tc>
          <w:tcPr/>
          <w:p>
            <w:pPr>
              <w:pStyle w:val="Compact"/>
              <w:jc w:val="right"/>
            </w:pPr>
            <w:r>
              <w:t xml:space="preserve">Change vs. prior outlook</w:t>
            </w:r>
          </w:p>
        </w:tc>
      </w:tr>
      <w:tr>
        <w:tc>
          <w:tcPr/>
          <w:p>
            <w:pPr>
              <w:pStyle w:val="Compact"/>
            </w:pPr>
            <w:r>
              <w:t xml:space="preserve">Site rental revenue</w:t>
            </w:r>
          </w:p>
        </w:tc>
        <w:tc>
          <w:tcPr/>
          <w:p>
            <w:pPr>
              <w:pStyle w:val="Compact"/>
              <w:jc w:val="right"/>
            </w:pPr>
            <m:oMath>
              <m:r>
                <m:t>3.828</m:t>
              </m:r>
              <m:r>
                <m:t>B</m:t>
              </m:r>
              <m:r>
                <m:rPr>
                  <m:sty m:val="p"/>
                </m:rPr>
                <m:t>–</m:t>
              </m:r>
            </m:oMath>
            <w:r>
              <w:t xml:space="preserve">3.873B</w:t>
            </w:r>
          </w:p>
        </w:tc>
        <w:tc>
          <w:tcPr/>
          <w:p>
            <w:pPr>
              <w:pStyle w:val="Compact"/>
              <w:jc w:val="right"/>
            </w:pPr>
            <w:r>
              <w:t xml:space="preserve">$3.851B</w:t>
            </w:r>
          </w:p>
        </w:tc>
        <w:tc>
          <w:tcPr/>
          <w:p>
            <w:pPr>
              <w:pStyle w:val="Compact"/>
              <w:jc w:val="right"/>
            </w:pPr>
            <w:r>
              <w:t xml:space="preserve">Unchanged</w:t>
            </w:r>
          </w:p>
        </w:tc>
      </w:tr>
      <w:tr>
        <w:tc>
          <w:tcPr/>
          <w:p>
            <w:pPr>
              <w:pStyle w:val="Compact"/>
            </w:pPr>
            <w:r>
              <w:t xml:space="preserve">Adjusted EBITDA</w:t>
            </w:r>
          </w:p>
        </w:tc>
        <w:tc>
          <w:tcPr/>
          <w:p>
            <w:pPr>
              <w:pStyle w:val="Compact"/>
              <w:jc w:val="right"/>
            </w:pPr>
            <m:oMath>
              <m:r>
                <m:t>2.665</m:t>
              </m:r>
              <m:r>
                <m:t>B</m:t>
              </m:r>
              <m:r>
                <m:rPr>
                  <m:sty m:val="p"/>
                </m:rPr>
                <m:t>–</m:t>
              </m:r>
            </m:oMath>
            <w:r>
              <w:t xml:space="preserve">2.715B</w:t>
            </w:r>
          </w:p>
        </w:tc>
        <w:tc>
          <w:tcPr/>
          <w:p>
            <w:pPr>
              <w:pStyle w:val="Compact"/>
              <w:jc w:val="right"/>
            </w:pPr>
            <w:r>
              <w:t xml:space="preserve">$2.690B</w:t>
            </w:r>
          </w:p>
        </w:tc>
        <w:tc>
          <w:tcPr/>
          <w:p>
            <w:pPr>
              <w:pStyle w:val="Compact"/>
              <w:jc w:val="right"/>
            </w:pPr>
            <w:r>
              <w:t xml:space="preserve">Unchanged</w:t>
            </w:r>
          </w:p>
        </w:tc>
      </w:tr>
      <w:tr>
        <w:tc>
          <w:tcPr/>
          <w:p>
            <w:pPr>
              <w:pStyle w:val="Compact"/>
            </w:pPr>
            <w:r>
              <w:t xml:space="preserve">AFFO</w:t>
            </w:r>
          </w:p>
        </w:tc>
        <w:tc>
          <w:tcPr/>
          <w:p>
            <w:pPr>
              <w:pStyle w:val="Compact"/>
              <w:jc w:val="right"/>
            </w:pPr>
            <m:oMath>
              <m:r>
                <m:t>1.945</m:t>
              </m:r>
              <m:r>
                <m:t>B</m:t>
              </m:r>
              <m:r>
                <m:rPr>
                  <m:sty m:val="p"/>
                </m:rPr>
                <m:t>–</m:t>
              </m:r>
            </m:oMath>
            <w:r>
              <w:t xml:space="preserve">1.995B</w:t>
            </w:r>
          </w:p>
        </w:tc>
        <w:tc>
          <w:tcPr/>
          <w:p>
            <w:pPr>
              <w:pStyle w:val="Compact"/>
              <w:jc w:val="right"/>
            </w:pPr>
            <w:r>
              <w:t xml:space="preserve">$1.970B</w:t>
            </w:r>
          </w:p>
        </w:tc>
        <w:tc>
          <w:tcPr/>
          <w:p>
            <w:pPr>
              <w:pStyle w:val="Compact"/>
              <w:jc w:val="right"/>
            </w:pPr>
            <w:r>
              <w:t xml:space="preserve">+$50M</w:t>
            </w:r>
          </w:p>
        </w:tc>
      </w:tr>
      <w:tr>
        <w:tc>
          <w:tcPr/>
          <w:p>
            <w:pPr>
              <w:pStyle w:val="Compact"/>
            </w:pPr>
            <w:r>
              <w:t xml:space="preserve">AFFO per share</w:t>
            </w:r>
          </w:p>
        </w:tc>
        <w:tc>
          <w:tcPr/>
          <w:p>
            <w:pPr>
              <w:pStyle w:val="Compact"/>
              <w:jc w:val="right"/>
            </w:pPr>
            <m:oMath>
              <m:r>
                <m:t>4.53</m:t>
              </m:r>
              <m:r>
                <m:rPr>
                  <m:sty m:val="p"/>
                </m:rPr>
                <m:t>–</m:t>
              </m:r>
            </m:oMath>
            <w:r>
              <w:t xml:space="preserve">4.65</w:t>
            </w:r>
          </w:p>
        </w:tc>
        <w:tc>
          <w:tcPr/>
          <w:p>
            <w:pPr>
              <w:pStyle w:val="Compact"/>
              <w:jc w:val="right"/>
            </w:pPr>
            <w:r>
              <w:t xml:space="preserve">$4.59</w:t>
            </w:r>
          </w:p>
        </w:tc>
        <w:tc>
          <w:tcPr/>
          <w:p>
            <w:pPr>
              <w:pStyle w:val="Compact"/>
              <w:jc w:val="right"/>
            </w:pPr>
            <w:r>
              <w:t xml:space="preserve">+$0.16</w:t>
            </w:r>
          </w:p>
        </w:tc>
      </w:tr>
      <w:tr>
        <w:tc>
          <w:tcPr/>
          <w:p>
            <w:pPr>
              <w:pStyle w:val="Compact"/>
            </w:pPr>
            <w:r>
              <w:t xml:space="preserve">Interest expense</w:t>
            </w:r>
          </w:p>
        </w:tc>
        <w:tc>
          <w:tcPr/>
          <w:p>
            <w:pPr>
              <w:pStyle w:val="Compact"/>
              <w:jc w:val="right"/>
            </w:pPr>
            <m:oMath>
              <m:r>
                <m:t>792</m:t>
              </m:r>
              <m:r>
                <m:t>M</m:t>
              </m:r>
              <m:r>
                <m:rPr>
                  <m:sty m:val="p"/>
                </m:rPr>
                <m:t>–</m:t>
              </m:r>
            </m:oMath>
            <w:r>
              <w:t xml:space="preserve">837M</w:t>
            </w:r>
          </w:p>
        </w:tc>
        <w:tc>
          <w:tcPr/>
          <w:p>
            <w:pPr>
              <w:pStyle w:val="Compact"/>
              <w:jc w:val="right"/>
            </w:pPr>
            <w:r>
              <w:t xml:space="preserve">$815M</w:t>
            </w:r>
          </w:p>
        </w:tc>
        <w:tc>
          <w:tcPr/>
          <w:p>
            <w:pPr>
              <w:pStyle w:val="Compact"/>
              <w:jc w:val="right"/>
            </w:pPr>
            <w:r>
              <w:t xml:space="preserve">–$40M</w:t>
            </w:r>
          </w:p>
        </w:tc>
      </w:tr>
      <w:tr>
        <w:tc>
          <w:tcPr/>
          <w:p>
            <w:pPr>
              <w:pStyle w:val="Compact"/>
            </w:pPr>
            <w:r>
              <w:t xml:space="preserve">Discretionary capex</w:t>
            </w:r>
          </w:p>
        </w:tc>
        <w:tc>
          <w:tcPr/>
          <w:p>
            <w:pPr>
              <w:pStyle w:val="Compact"/>
              <w:jc w:val="right"/>
            </w:pPr>
            <m:oMath>
              <m:r>
                <m:t>150</m:t>
              </m:r>
              <m:r>
                <m:t>M</m:t>
              </m:r>
              <m:r>
                <m:rPr>
                  <m:sty m:val="p"/>
                </m:rPr>
                <m:t>–</m:t>
              </m:r>
            </m:oMath>
            <w:r>
              <w:t xml:space="preserve">250M</w:t>
            </w:r>
          </w:p>
        </w:tc>
        <w:tc>
          <w:tcPr/>
          <w:p>
            <w:pPr>
              <w:pStyle w:val="Compact"/>
              <w:jc w:val="right"/>
            </w:pPr>
            <w:r>
              <w:t xml:space="preserve">$200M</w:t>
            </w:r>
          </w:p>
        </w:tc>
        <w:tc>
          <w:tcPr/>
          <w:p>
            <w:pPr>
              <w:pStyle w:val="Compact"/>
              <w:jc w:val="right"/>
            </w:pPr>
            <w:r>
              <w:t xml:space="preserve">Unchanged</w:t>
            </w:r>
          </w:p>
        </w:tc>
      </w:tr>
    </w:tbl>
    <w:p>
      <w:pPr>
        <w:pStyle w:val="BodyText"/>
      </w:pPr>
      <w:r>
        <w:t xml:space="preserve">At the midpoint, AFFO is expected to rise roughly</w:t>
      </w:r>
      <w:r>
        <w:t xml:space="preserve"> </w:t>
      </w:r>
      <w:r>
        <w:rPr>
          <w:b/>
          <w:bCs/>
        </w:rPr>
        <w:t xml:space="preserve">3%–4%</w:t>
      </w:r>
      <w:r>
        <w:t xml:space="preserve"> </w:t>
      </w:r>
      <w:r>
        <w:t xml:space="preserve">year over year, while AFFO per share rises about</w:t>
      </w:r>
      <w:r>
        <w:t xml:space="preserve"> </w:t>
      </w:r>
      <w:r>
        <w:rPr>
          <w:b/>
          <w:bCs/>
        </w:rPr>
        <w:t xml:space="preserve">5%</w:t>
      </w:r>
      <w:r>
        <w:t xml:space="preserve">, aided by the planned $1 billion repurchase program and a lower assumed diluted share count of 429 million.</w:t>
      </w:r>
    </w:p>
    <w:bookmarkEnd w:id="10"/>
    <w:bookmarkStart w:id="13" w:name="X13bec9e35f550cbc93c41a3577fb8914c251907"/>
    <w:p>
      <w:pPr>
        <w:pStyle w:val="Heading2"/>
      </w:pPr>
      <w:r>
        <w:t xml:space="preserve">The key operating debate: can underlying growth offset DISH?</w:t>
      </w:r>
    </w:p>
    <w:p>
      <w:pPr>
        <w:pStyle w:val="FirstParagraph"/>
      </w:pPr>
      <w:r>
        <w:t xml:space="preserve">The headline revenue trend will remain weak in 2026 because of known cancellations and accounting effects. Management guides to approximately</w:t>
      </w:r>
      <w:r>
        <w:t xml:space="preserve"> </w:t>
      </w:r>
      <w:r>
        <w:rPr>
          <w:b/>
          <w:bCs/>
        </w:rPr>
        <w:t xml:space="preserve">5% lower site-rental revenue</w:t>
      </w:r>
      <w:r>
        <w:t xml:space="preserve"> </w:t>
      </w:r>
      <w:r>
        <w:t xml:space="preserve">for the year, including:</w:t>
      </w:r>
    </w:p>
    <w:p>
      <w:pPr>
        <w:pStyle w:val="Compact"/>
        <w:numPr>
          <w:ilvl w:val="0"/>
          <w:numId w:val="1002"/>
        </w:numPr>
      </w:pPr>
      <w:r>
        <w:rPr>
          <w:b/>
          <w:bCs/>
        </w:rPr>
        <w:t xml:space="preserve">$220 million</w:t>
      </w:r>
      <w:r>
        <w:t xml:space="preserve"> </w:t>
      </w:r>
      <w:r>
        <w:t xml:space="preserve">of DISH-related terminations;</w:t>
      </w:r>
    </w:p>
    <w:p>
      <w:pPr>
        <w:pStyle w:val="Compact"/>
        <w:numPr>
          <w:ilvl w:val="0"/>
          <w:numId w:val="1002"/>
        </w:numPr>
      </w:pPr>
      <w:r>
        <w:rPr>
          <w:b/>
          <w:bCs/>
        </w:rPr>
        <w:t xml:space="preserve">$20 million</w:t>
      </w:r>
      <w:r>
        <w:t xml:space="preserve"> </w:t>
      </w:r>
      <w:r>
        <w:t xml:space="preserve">of Sprint cancellations;</w:t>
      </w:r>
    </w:p>
    <w:p>
      <w:pPr>
        <w:pStyle w:val="Compact"/>
        <w:numPr>
          <w:ilvl w:val="0"/>
          <w:numId w:val="1002"/>
        </w:numPr>
      </w:pPr>
      <w:r>
        <w:t xml:space="preserve">approximately</w:t>
      </w:r>
      <w:r>
        <w:t xml:space="preserve"> </w:t>
      </w:r>
      <w:r>
        <w:rPr>
          <w:b/>
          <w:bCs/>
        </w:rPr>
        <w:t xml:space="preserve">$60 million</w:t>
      </w:r>
      <w:r>
        <w:t xml:space="preserve"> </w:t>
      </w:r>
      <w:r>
        <w:t xml:space="preserve">of combined unfavorable straight-line revenue and prepaid-rent amortization effects at the midpoint.</w:t>
      </w:r>
    </w:p>
    <w:p>
      <w:pPr>
        <w:pStyle w:val="FirstParagraph"/>
      </w:pPr>
      <w:r>
        <w:t xml:space="preserve">That makes reported revenue an imperfect measure of the health of the remaining tower portfolio. The cleaner KPI is</w:t>
      </w:r>
      <w:r>
        <w:t xml:space="preserve"> </w:t>
      </w:r>
      <w:r>
        <w:rPr>
          <w:b/>
          <w:bCs/>
        </w:rPr>
        <w:t xml:space="preserve">organic contribution to site-rental billings excluding DISH and Sprint</w:t>
      </w:r>
      <w:r>
        <w:t xml:space="preserve">, guided to</w:t>
      </w:r>
      <w:r>
        <w:t xml:space="preserve"> </w:t>
      </w:r>
      <w:r>
        <w:rPr>
          <w:b/>
          <w:bCs/>
        </w:rPr>
        <w:t xml:space="preserve">3.5%</w:t>
      </w:r>
      <w:r>
        <w:t xml:space="preserve"> </w:t>
      </w:r>
      <w:r>
        <w:t xml:space="preserve">when DISH is excluded from the prior-year base.</w:t>
      </w:r>
    </w:p>
    <w:p>
      <w:pPr>
        <w:pStyle w:val="BodyText"/>
      </w:pPr>
      <w:r>
        <w:t xml:space="preserve">In 1Q26, this adjusted organic growth was</w:t>
      </w:r>
      <w:r>
        <w:t xml:space="preserve"> </w:t>
      </w:r>
      <w:r>
        <w:rPr>
          <w:b/>
          <w:bCs/>
        </w:rPr>
        <w:t xml:space="preserve">3.3%</w:t>
      </w:r>
      <w:r>
        <w:t xml:space="preserve">, or $30 million, versus 3.9% a year earlier on a comparable basis. Management characterized 2026 as the expected “low point” for underlying growth, implying that investors will be looking for 2Q evidence of a sequentially firmer leasing trajectory.</w:t>
      </w:r>
    </w:p>
    <w:bookmarkStart w:id="11" w:name="Xd542db128091598d858b3281dc5fdf67773a75e"/>
    <w:p>
      <w:pPr>
        <w:pStyle w:val="Heading3"/>
      </w:pPr>
      <w:r>
        <w:t xml:space="preserve">What would constitute a constructive print</w:t>
      </w:r>
    </w:p>
    <w:p>
      <w:pPr>
        <w:pStyle w:val="Compact"/>
        <w:numPr>
          <w:ilvl w:val="0"/>
          <w:numId w:val="1003"/>
        </w:numPr>
      </w:pPr>
      <w:r>
        <w:t xml:space="preserve">Adjusted organic growth at or above the</w:t>
      </w:r>
      <w:r>
        <w:t xml:space="preserve"> </w:t>
      </w:r>
      <w:r>
        <w:rPr>
          <w:b/>
          <w:bCs/>
        </w:rPr>
        <w:t xml:space="preserve">3.5% full-year framework</w:t>
      </w:r>
      <w:r>
        <w:t xml:space="preserve">;</w:t>
      </w:r>
    </w:p>
    <w:p>
      <w:pPr>
        <w:pStyle w:val="Compact"/>
        <w:numPr>
          <w:ilvl w:val="0"/>
          <w:numId w:val="1003"/>
        </w:numPr>
      </w:pPr>
      <w:r>
        <w:t xml:space="preserve">Core leasing activity that improves from 1Q’s $15 million;</w:t>
      </w:r>
    </w:p>
    <w:p>
      <w:pPr>
        <w:pStyle w:val="Compact"/>
        <w:numPr>
          <w:ilvl w:val="0"/>
          <w:numId w:val="1003"/>
        </w:numPr>
      </w:pPr>
      <w:r>
        <w:t xml:space="preserve">Normalized churn that remains contained near the full-year expectation of roughly</w:t>
      </w:r>
      <w:r>
        <w:t xml:space="preserve"> </w:t>
      </w:r>
      <m:oMath>
        <m:r>
          <m:t>25</m:t>
        </m:r>
        <m:r>
          <m:t>m</m:t>
        </m:r>
        <m:r>
          <m:t>i</m:t>
        </m:r>
        <m:r>
          <m:t>l</m:t>
        </m:r>
        <m:r>
          <m:t>l</m:t>
        </m:r>
        <m:r>
          <m:t>i</m:t>
        </m:r>
        <m:r>
          <m:t>o</m:t>
        </m:r>
        <m:r>
          <m:t>n</m:t>
        </m:r>
        <m:r>
          <m:rPr>
            <m:sty m:val="p"/>
          </m:rPr>
          <m:t>–</m:t>
        </m:r>
      </m:oMath>
      <w:r>
        <w:t xml:space="preserve">35 million;</w:t>
      </w:r>
    </w:p>
    <w:p>
      <w:pPr>
        <w:pStyle w:val="Compact"/>
        <w:numPr>
          <w:ilvl w:val="0"/>
          <w:numId w:val="1003"/>
        </w:numPr>
      </w:pPr>
      <w:r>
        <w:t xml:space="preserve">Commentary that carrier densification, amendments, and new colocations are building into the second half.</w:t>
      </w:r>
    </w:p>
    <w:bookmarkEnd w:id="11"/>
    <w:bookmarkStart w:id="12" w:name="what-would-disappoint"/>
    <w:p>
      <w:pPr>
        <w:pStyle w:val="Heading3"/>
      </w:pPr>
      <w:r>
        <w:t xml:space="preserve">What would disappoint</w:t>
      </w:r>
    </w:p>
    <w:p>
      <w:pPr>
        <w:pStyle w:val="Compact"/>
        <w:numPr>
          <w:ilvl w:val="0"/>
          <w:numId w:val="1004"/>
        </w:numPr>
      </w:pPr>
      <w:r>
        <w:t xml:space="preserve">Another step down in core leasing or adjusted organic growth;</w:t>
      </w:r>
    </w:p>
    <w:p>
      <w:pPr>
        <w:pStyle w:val="Compact"/>
        <w:numPr>
          <w:ilvl w:val="0"/>
          <w:numId w:val="1004"/>
        </w:numPr>
      </w:pPr>
      <w:r>
        <w:t xml:space="preserve">Incremental churn outside of the already-forecast DISH and Sprint impacts;</w:t>
      </w:r>
    </w:p>
    <w:p>
      <w:pPr>
        <w:pStyle w:val="Compact"/>
        <w:numPr>
          <w:ilvl w:val="0"/>
          <w:numId w:val="1004"/>
        </w:numPr>
      </w:pPr>
      <w:r>
        <w:t xml:space="preserve">Any indication that carriers are slowing deployment activity or pushing out projects;</w:t>
      </w:r>
    </w:p>
    <w:p>
      <w:pPr>
        <w:pStyle w:val="Compact"/>
        <w:numPr>
          <w:ilvl w:val="0"/>
          <w:numId w:val="1004"/>
        </w:numPr>
      </w:pPr>
      <w:r>
        <w:t xml:space="preserve">A guide reduction driven by weaker leasing—not merely timing.</w:t>
      </w:r>
    </w:p>
    <w:bookmarkEnd w:id="12"/>
    <w:bookmarkEnd w:id="13"/>
    <w:bookmarkStart w:id="14" w:name="X4af123b8aed57f6069d88ea533c6f8af91d99d2"/>
    <w:p>
      <w:pPr>
        <w:pStyle w:val="Heading2"/>
      </w:pPr>
      <w:r>
        <w:t xml:space="preserve">The important near-term swing factor: 1Q cost timing reverses</w:t>
      </w:r>
    </w:p>
    <w:p>
      <w:pPr>
        <w:pStyle w:val="FirstParagraph"/>
      </w:pPr>
      <w:r>
        <w:t xml:space="preserve">CCI’s 1Q results were helped by temporarily lower repair and maintenance expense, sustaining capex, other non-labor costs, and lower short-term borrowing rates. Management explicitly warned that much of the operating-cost benefit was timing and seasonality and would recur later in the year.</w:t>
      </w:r>
    </w:p>
    <w:p>
      <w:pPr>
        <w:pStyle w:val="BodyText"/>
      </w:pPr>
      <w:r>
        <w:t xml:space="preserve">That matters for 2Q: a sequential increase in costs should not automatically be read as operational deterioration. Still, investors should assess whether the company can absorb this normalization while preserving full-year EBITDA and AFFO guidance.</w:t>
      </w:r>
    </w:p>
    <w:p>
      <w:pPr>
        <w:pStyle w:val="BodyText"/>
      </w:pPr>
      <w:r>
        <w:t xml:space="preserve">The more strategic cost opportunity is longer dated. Management’s February restructuring is expected to produce</w:t>
      </w:r>
      <w:r>
        <w:t xml:space="preserve"> </w:t>
      </w:r>
      <w:r>
        <w:rPr>
          <w:b/>
          <w:bCs/>
        </w:rPr>
        <w:t xml:space="preserve">$65 million of annualized run-rate cost reductions</w:t>
      </w:r>
      <w:r>
        <w:t xml:space="preserve">, with approximately $55 million of 2026 savings. CCI is also targeting further margin improvement through automation, systems investment, and buying land beneath its towers. Management has discussed the potential for more than 200 basis points of incremental margin improvement over time beyond the initial restructuring.</w:t>
      </w:r>
    </w:p>
    <w:bookmarkEnd w:id="14"/>
    <w:bookmarkStart w:id="15" w:name="Xcb04fa7cb1c5f372a864a647c327e8a3c56d344"/>
    <w:p>
      <w:pPr>
        <w:pStyle w:val="Heading2"/>
      </w:pPr>
      <w:r>
        <w:t xml:space="preserve">Capital allocation is now central to the equity case</w:t>
      </w:r>
    </w:p>
    <w:p>
      <w:pPr>
        <w:pStyle w:val="FirstParagraph"/>
      </w:pPr>
      <w:r>
        <w:t xml:space="preserve">The divestiture transformed CCI’s capital-allocation profile. The company stated it would use proceeds to:</w:t>
      </w:r>
    </w:p>
    <w:p>
      <w:pPr>
        <w:pStyle w:val="Compact"/>
        <w:numPr>
          <w:ilvl w:val="0"/>
          <w:numId w:val="1005"/>
        </w:numPr>
      </w:pPr>
      <w:r>
        <w:t xml:space="preserve">repay</w:t>
      </w:r>
      <w:r>
        <w:t xml:space="preserve"> </w:t>
      </w:r>
      <w:r>
        <w:rPr>
          <w:b/>
          <w:bCs/>
        </w:rPr>
        <w:t xml:space="preserve">more than $7 billion</w:t>
      </w:r>
      <w:r>
        <w:t xml:space="preserve"> </w:t>
      </w:r>
      <w:r>
        <w:t xml:space="preserve">of debt;</w:t>
      </w:r>
    </w:p>
    <w:p>
      <w:pPr>
        <w:pStyle w:val="Compact"/>
        <w:numPr>
          <w:ilvl w:val="0"/>
          <w:numId w:val="1005"/>
        </w:numPr>
      </w:pPr>
      <w:r>
        <w:t xml:space="preserve">repurchase</w:t>
      </w:r>
      <w:r>
        <w:t xml:space="preserve"> </w:t>
      </w:r>
      <w:r>
        <w:rPr>
          <w:b/>
          <w:bCs/>
        </w:rPr>
        <w:t xml:space="preserve">$1 billion</w:t>
      </w:r>
      <w:r>
        <w:t xml:space="preserve"> </w:t>
      </w:r>
      <w:r>
        <w:t xml:space="preserve">of common stock under a program effective May 1; and</w:t>
      </w:r>
    </w:p>
    <w:p>
      <w:pPr>
        <w:pStyle w:val="Compact"/>
        <w:numPr>
          <w:ilvl w:val="0"/>
          <w:numId w:val="1005"/>
        </w:numPr>
      </w:pPr>
      <w:r>
        <w:t xml:space="preserve">preserve its investment-grade rating and target leverage range of</w:t>
      </w:r>
      <w:r>
        <w:t xml:space="preserve"> </w:t>
      </w:r>
      <w:r>
        <w:rPr>
          <w:b/>
          <w:bCs/>
        </w:rPr>
        <w:t xml:space="preserve">6.0x–6.5x</w:t>
      </w:r>
      <w:r>
        <w:t xml:space="preserve">.</w:t>
      </w:r>
    </w:p>
    <w:p>
      <w:pPr>
        <w:pStyle w:val="FirstParagraph"/>
      </w:pPr>
      <w:r>
        <w:t xml:space="preserve">CCI has already repaid all loans outstanding under its former credit agreement and replaced it with a new</w:t>
      </w:r>
      <w:r>
        <w:t xml:space="preserve"> </w:t>
      </w:r>
      <w:r>
        <w:rPr>
          <w:b/>
          <w:bCs/>
        </w:rPr>
        <w:t xml:space="preserve">$4.5 billion unsecured revolver</w:t>
      </w:r>
      <w:r>
        <w:t xml:space="preserve"> </w:t>
      </w:r>
      <w:r>
        <w:t xml:space="preserve">maturing in 2031. The 2Q balance sheet should provide the first meaningful scorecard on how much debt has actually been retired, how much stock has been repurchased, and where leverage stands after the transaction.</w:t>
      </w:r>
    </w:p>
    <w:p>
      <w:pPr>
        <w:pStyle w:val="BodyText"/>
      </w:pPr>
      <w:r>
        <w:t xml:space="preserve">This is especially important because the May guidance uplift was entirely financial: earlier receipt of sale proceeds reduced expected interest expense by approximately $40 million and increased expected interest income by approximately $10 million. Investors should distinguish this completed financing benefit from the still-unproven operating upside.</w:t>
      </w:r>
    </w:p>
    <w:bookmarkEnd w:id="15"/>
    <w:bookmarkStart w:id="16" w:name="X78c488df15141d8bcf0169154c86cda945f1bde"/>
    <w:p>
      <w:pPr>
        <w:pStyle w:val="Heading2"/>
      </w:pPr>
      <w:r>
        <w:t xml:space="preserve">Dividend: stable, but the payout ratio remains a watch item</w:t>
      </w:r>
    </w:p>
    <w:p>
      <w:pPr>
        <w:pStyle w:val="FirstParagraph"/>
      </w:pPr>
      <w:r>
        <w:t xml:space="preserve">CCI paid a 1Q dividend of</w:t>
      </w:r>
      <w:r>
        <w:t xml:space="preserve"> </w:t>
      </w:r>
      <w:r>
        <w:rPr>
          <w:b/>
          <w:bCs/>
        </w:rPr>
        <w:t xml:space="preserve">$1.0625 per share</w:t>
      </w:r>
      <w:r>
        <w:t xml:space="preserve">, equivalent to a $4.25 annualized rate. Relative to the current 2026 AFFO-per-share midpoint of $4.59, that implies an AFFO payout ratio near</w:t>
      </w:r>
      <w:r>
        <w:t xml:space="preserve"> </w:t>
      </w:r>
      <w:r>
        <w:rPr>
          <w:b/>
          <w:bCs/>
        </w:rPr>
        <w:t xml:space="preserve">93%</w:t>
      </w:r>
      <w:r>
        <w:t xml:space="preserve">.</w:t>
      </w:r>
    </w:p>
    <w:p>
      <w:pPr>
        <w:pStyle w:val="BodyText"/>
      </w:pPr>
      <w:r>
        <w:t xml:space="preserve">Management has previously reaffirmed its intention to maintain the dividend while deleveraging and buying back stock. The earnings call will likely revisit whether management still sees a credible path to bringing the payout ratio into its targeted range as AFFO grows. For income-oriented investors, reaffirmation is important; for total-return investors, the question is whether the capital mix between dividend, deleveraging, and buybacks remains optimal.</w:t>
      </w:r>
    </w:p>
    <w:bookmarkEnd w:id="16"/>
    <w:bookmarkStart w:id="17" w:name="X946ab8e81ed16c660e0fc2b0aa461d9bde8999f"/>
    <w:p>
      <w:pPr>
        <w:pStyle w:val="Heading2"/>
      </w:pPr>
      <w:r>
        <w:t xml:space="preserve">DISH litigation: upside optionality, not an underwriting assumption</w:t>
      </w:r>
    </w:p>
    <w:p>
      <w:pPr>
        <w:pStyle w:val="FirstParagraph"/>
      </w:pPr>
      <w:r>
        <w:t xml:space="preserve">CCI terminated its DISH master lease agreement after a payment default and is pursuing legal claims against DISH and EchoStar. The company believes it has a strong case, but management has cautioned that the legal process could take at least a year.</w:t>
      </w:r>
    </w:p>
    <w:p>
      <w:pPr>
        <w:pStyle w:val="BodyText"/>
      </w:pPr>
      <w:r>
        <w:t xml:space="preserve">The practical takeaway: the forecast already incorporates the</w:t>
      </w:r>
      <w:r>
        <w:t xml:space="preserve"> </w:t>
      </w:r>
      <w:r>
        <w:rPr>
          <w:b/>
          <w:bCs/>
        </w:rPr>
        <w:t xml:space="preserve">$220 million</w:t>
      </w:r>
      <w:r>
        <w:t xml:space="preserve"> </w:t>
      </w:r>
      <w:r>
        <w:t xml:space="preserve">2026 revenue impact from DISH terminations. Any recovery would be upside, but investors should avoid embedding a litigation settlement into base-case earnings or valuation. The more relevant near-term question is whether management can preserve tenant economics through legal or regulatory action without diverting attention from the pure-play tower transition.</w:t>
      </w:r>
    </w:p>
    <w:bookmarkEnd w:id="17"/>
    <w:bookmarkStart w:id="18" w:name="stock-setup"/>
    <w:p>
      <w:pPr>
        <w:pStyle w:val="Heading2"/>
      </w:pPr>
      <w:r>
        <w:t xml:space="preserve">Stock setup</w:t>
      </w:r>
    </w:p>
    <w:p>
      <w:pPr>
        <w:pStyle w:val="FirstParagraph"/>
      </w:pPr>
      <w:r>
        <w:t xml:space="preserve">CCI closed at</w:t>
      </w:r>
      <w:r>
        <w:t xml:space="preserve"> </w:t>
      </w:r>
      <w:r>
        <w:rPr>
          <w:b/>
          <w:bCs/>
        </w:rPr>
        <w:t xml:space="preserve">$76.22 on July 21</w:t>
      </w:r>
      <w:r>
        <w:t xml:space="preserve">, down about</w:t>
      </w:r>
      <w:r>
        <w:t xml:space="preserve"> </w:t>
      </w:r>
      <w:r>
        <w:rPr>
          <w:b/>
          <w:bCs/>
        </w:rPr>
        <w:t xml:space="preserve">11%</w:t>
      </w:r>
      <w:r>
        <w:t xml:space="preserve"> </w:t>
      </w:r>
      <w:r>
        <w:t xml:space="preserve">from its April 22 close and roughly</w:t>
      </w:r>
      <w:r>
        <w:t xml:space="preserve"> </w:t>
      </w:r>
      <w:r>
        <w:rPr>
          <w:b/>
          <w:bCs/>
        </w:rPr>
        <w:t xml:space="preserve">15%</w:t>
      </w:r>
      <w:r>
        <w:t xml:space="preserve"> </w:t>
      </w:r>
      <w:r>
        <w:t xml:space="preserve">from the May 1 transaction-close date.</w:t>
      </w:r>
    </w:p>
    <w:p>
      <w:pPr>
        <w:pStyle w:val="BodyText"/>
      </w:pPr>
      <w:r>
        <w:t xml:space="preserve">That decline suggests the market remains unconvinced that the improved capital structure and pure-play positioning are sufficient to offset concerns around low organic growth, DISH-related revenue loss, the dividend payout ratio, and execution against peer-level margins. As a result, the stock reaction is likely to hinge more on forward commentary and KPI quality than on a small quarterly AFFO variance.</w:t>
      </w:r>
    </w:p>
    <w:bookmarkEnd w:id="18"/>
    <w:bookmarkStart w:id="19" w:name="X9116bec721e8ecc27edd7ff5882de2109353ab2"/>
    <w:p>
      <w:pPr>
        <w:pStyle w:val="Heading2"/>
      </w:pPr>
      <w:r>
        <w:t xml:space="preserve">Questions investors should ask on the call</w:t>
      </w:r>
    </w:p>
    <w:p>
      <w:pPr>
        <w:pStyle w:val="Compact"/>
        <w:numPr>
          <w:ilvl w:val="0"/>
          <w:numId w:val="1006"/>
        </w:numPr>
      </w:pPr>
      <w:r>
        <w:rPr>
          <w:b/>
          <w:bCs/>
        </w:rPr>
        <w:t xml:space="preserve">Organic growth:</w:t>
      </w:r>
      <w:r>
        <w:t xml:space="preserve"> </w:t>
      </w:r>
      <w:r>
        <w:t xml:space="preserve">Did adjusted organic site-rental-billing growth improve sequentially from 1Q’s 3.3%, and is 3.5% for 2026 still the right exit-rate framework?</w:t>
      </w:r>
    </w:p>
    <w:p>
      <w:pPr>
        <w:pStyle w:val="Compact"/>
        <w:numPr>
          <w:ilvl w:val="0"/>
          <w:numId w:val="1006"/>
        </w:numPr>
      </w:pPr>
      <w:r>
        <w:rPr>
          <w:b/>
          <w:bCs/>
        </w:rPr>
        <w:t xml:space="preserve">Leasing demand:</w:t>
      </w:r>
      <w:r>
        <w:t xml:space="preserve"> </w:t>
      </w:r>
      <w:r>
        <w:t xml:space="preserve">What are carriers doing in amendments, new colocations, densification, and build-to-suit activity?</w:t>
      </w:r>
    </w:p>
    <w:p>
      <w:pPr>
        <w:pStyle w:val="Compact"/>
        <w:numPr>
          <w:ilvl w:val="0"/>
          <w:numId w:val="1006"/>
        </w:numPr>
      </w:pPr>
      <w:r>
        <w:rPr>
          <w:b/>
          <w:bCs/>
        </w:rPr>
        <w:t xml:space="preserve">Capital allocation:</w:t>
      </w:r>
      <w:r>
        <w:t xml:space="preserve"> </w:t>
      </w:r>
      <w:r>
        <w:t xml:space="preserve">How much debt has been repaid and how much of the $1 billion buyback authorization has been deployed?</w:t>
      </w:r>
    </w:p>
    <w:p>
      <w:pPr>
        <w:pStyle w:val="Compact"/>
        <w:numPr>
          <w:ilvl w:val="0"/>
          <w:numId w:val="1006"/>
        </w:numPr>
      </w:pPr>
      <w:r>
        <w:rPr>
          <w:b/>
          <w:bCs/>
        </w:rPr>
        <w:t xml:space="preserve">Leverage and ratings:</w:t>
      </w:r>
      <w:r>
        <w:t xml:space="preserve"> </w:t>
      </w:r>
      <w:r>
        <w:t xml:space="preserve">Where does leverage stand today versus the 6.0x–6.5x target?</w:t>
      </w:r>
    </w:p>
    <w:p>
      <w:pPr>
        <w:pStyle w:val="Compact"/>
        <w:numPr>
          <w:ilvl w:val="0"/>
          <w:numId w:val="1006"/>
        </w:numPr>
      </w:pPr>
      <w:r>
        <w:rPr>
          <w:b/>
          <w:bCs/>
        </w:rPr>
        <w:t xml:space="preserve">Costs and margins:</w:t>
      </w:r>
      <w:r>
        <w:t xml:space="preserve"> </w:t>
      </w:r>
      <w:r>
        <w:t xml:space="preserve">How much of the 2026 restructuring savings has been realized, and what is the timing of further margin improvement?</w:t>
      </w:r>
    </w:p>
    <w:p>
      <w:pPr>
        <w:pStyle w:val="Compact"/>
        <w:numPr>
          <w:ilvl w:val="0"/>
          <w:numId w:val="1006"/>
        </w:numPr>
      </w:pPr>
      <w:r>
        <w:rPr>
          <w:b/>
          <w:bCs/>
        </w:rPr>
        <w:t xml:space="preserve">Dividend:</w:t>
      </w:r>
      <w:r>
        <w:t xml:space="preserve"> </w:t>
      </w:r>
      <w:r>
        <w:t xml:space="preserve">Is the current quarterly dividend still the intended framework following the sale and buyback activity?</w:t>
      </w:r>
    </w:p>
    <w:p>
      <w:pPr>
        <w:pStyle w:val="Compact"/>
        <w:numPr>
          <w:ilvl w:val="0"/>
          <w:numId w:val="1006"/>
        </w:numPr>
      </w:pPr>
      <w:r>
        <w:rPr>
          <w:b/>
          <w:bCs/>
        </w:rPr>
        <w:t xml:space="preserve">DISH:</w:t>
      </w:r>
      <w:r>
        <w:t xml:space="preserve"> </w:t>
      </w:r>
      <w:r>
        <w:t xml:space="preserve">Have there been any legal, regulatory, or commercial developments that change the probability or timing of recovery?</w:t>
      </w:r>
    </w:p>
    <w:p>
      <w:pPr>
        <w:pStyle w:val="Compact"/>
        <w:numPr>
          <w:ilvl w:val="0"/>
          <w:numId w:val="1006"/>
        </w:numPr>
      </w:pPr>
      <w:r>
        <w:rPr>
          <w:b/>
          <w:bCs/>
        </w:rPr>
        <w:t xml:space="preserve">Land strategy:</w:t>
      </w:r>
      <w:r>
        <w:t xml:space="preserve"> </w:t>
      </w:r>
      <w:r>
        <w:t xml:space="preserve">Is CCI finding enough attractive opportunities to increase owned land beneath towers from roughly 30% toward management’s longer-term 40% aspiration?</w:t>
      </w:r>
    </w:p>
    <w:bookmarkEnd w:id="19"/>
    <w:bookmarkStart w:id="21" w:name="bottom-line"/>
    <w:p>
      <w:pPr>
        <w:pStyle w:val="Heading2"/>
      </w:pPr>
      <w:r>
        <w:t xml:space="preserve">Bottom line</w:t>
      </w:r>
    </w:p>
    <w:p>
      <w:pPr>
        <w:pStyle w:val="FirstParagraph"/>
      </w:pPr>
      <w:r>
        <w:t xml:space="preserve">CCI’s 2Q26 report is primarily an</w:t>
      </w:r>
      <w:r>
        <w:t xml:space="preserve"> </w:t>
      </w:r>
      <w:r>
        <w:rPr>
          <w:b/>
          <w:bCs/>
        </w:rPr>
        <w:t xml:space="preserve">execution test</w:t>
      </w:r>
      <w:r>
        <w:t xml:space="preserve">, not a transaction announcement. The clean bull case is that the company is now a simpler, better-capitalized tower REIT: underlying leasing stabilizes around or above 3.5%, debt reduction lowers interest expense, buybacks support AFFO per share, and multi-year efficiency and land-ownership initiatives narrow the margin gap with peers.</w:t>
      </w:r>
    </w:p>
    <w:p>
      <w:pPr>
        <w:pStyle w:val="BodyText"/>
      </w:pPr>
      <w:r>
        <w:t xml:space="preserve">The bear case is that the better AFFO guide is mostly a financing benefit while tower growth remains stuck at a low level, the DISH hole proves difficult to overcome, and the high dividend payout limits flexibility.</w:t>
      </w:r>
    </w:p>
    <w:p>
      <w:pPr>
        <w:pStyle w:val="BodyText"/>
      </w:pPr>
      <w:r>
        <w:rPr>
          <w:b/>
          <w:bCs/>
        </w:rPr>
        <w:t xml:space="preserve">The most important datapoint is not headline revenue or GAAP EPS—it is adjusted organic tower-billing growth, followed closely by tangible proof of debt repayment, repurchase execution, and maintained full-year AFFO guidance.</w:t>
      </w:r>
    </w:p>
    <w:bookmarkStart w:id="20" w:name="sources-reviewed"/>
    <w:p>
      <w:pPr>
        <w:pStyle w:val="Heading3"/>
      </w:pPr>
      <w:r>
        <w:t xml:space="preserve">Sources reviewed</w:t>
      </w:r>
    </w:p>
    <w:p>
      <w:pPr>
        <w:pStyle w:val="Compact"/>
        <w:numPr>
          <w:ilvl w:val="0"/>
          <w:numId w:val="1007"/>
        </w:numPr>
      </w:pPr>
      <w:r>
        <w:t xml:space="preserve">Crown Castle 1Q26 earnings release and earnings-call transcript, April 22, 2026</w:t>
      </w:r>
    </w:p>
    <w:p>
      <w:pPr>
        <w:pStyle w:val="Compact"/>
        <w:numPr>
          <w:ilvl w:val="0"/>
          <w:numId w:val="1007"/>
        </w:numPr>
      </w:pPr>
      <w:r>
        <w:t xml:space="preserve">Crown Castle announcement of Fiber Solutions and Small Cell divestiture close and updated 2026 outlook, May 1, 2026</w:t>
      </w:r>
    </w:p>
    <w:p>
      <w:pPr>
        <w:pStyle w:val="Compact"/>
        <w:numPr>
          <w:ilvl w:val="0"/>
          <w:numId w:val="1007"/>
        </w:numPr>
      </w:pPr>
      <w:r>
        <w:t xml:space="preserve">Crown Castle Form 8-K on new $4.5 billion revolving credit facility and repayment of former credit-agreement borrowings, May 1, 2026</w:t>
      </w:r>
    </w:p>
    <w:p>
      <w:pPr>
        <w:pStyle w:val="Compact"/>
        <w:numPr>
          <w:ilvl w:val="0"/>
          <w:numId w:val="1007"/>
        </w:numPr>
      </w:pPr>
      <w:r>
        <w:t xml:space="preserve">CCI historical share-price data through July 21, 2026</w:t>
      </w:r>
    </w:p>
    <w:bookmarkEnd w:id="20"/>
    <w:bookmarkEnd w:id="21"/>
    <w:bookmarkEnd w:id="2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2026-07-22T00:45:16Z</dcterms:created>
  <dcterms:modified xsi:type="dcterms:W3CDTF">2026-07-22T00:45:16Z</dcterms:modified>
</cp:coreProperties>
</file>

<file path=docProps/custom.xml><?xml version="1.0" encoding="utf-8"?>
<Properties xmlns="http://schemas.openxmlformats.org/officeDocument/2006/custom-properties" xmlns:vt="http://schemas.openxmlformats.org/officeDocument/2006/docPropsVTypes"/>
</file>