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Crown Castle Inc. (CCI)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Crown Castle Inc. (NYSE: CCI)</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After Market Close</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SPY (S&amp;P 500) | Peers: AMT, SBAC</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cautiously constructive — consensus is a manageable bar, guidance was raised post-fiber-sale close, and management has explicitly flagged a </w:t>
      </w:r>
      <w:r>
        <w:rPr>
          <w:rFonts w:ascii="Calibri" w:hAnsi="Calibri"/>
          <w:b/>
          <w:color w:val="525866"/>
          <w:sz w:val="22"/>
        </w:rPr>
        <w:t>second-half loaded growth profile</w:t>
      </w:r>
      <w:r>
        <w:rPr>
          <w:rFonts w:ascii="Calibri" w:hAnsi="Calibri"/>
          <w:color w:val="525866"/>
          <w:sz w:val="22"/>
        </w:rPr>
        <w:t>; the biggest swing factor is whether organic leasing activity shows the sequential acceleration management promised.</w:t>
      </w:r>
    </w:p>
    <w:p>
      <w:r>
        <w:rPr>
          <w:rFonts w:ascii="Calibri" w:hAnsi="Calibri"/>
          <w:color w:val="525866"/>
          <w:sz w:val="22"/>
        </w:rPr>
        <w:t xml:space="preserve">Heading into Q2 2026, Crown Castle's bar is set at </w:t>
      </w:r>
      <w:r>
        <w:rPr>
          <w:rFonts w:ascii="Calibri" w:hAnsi="Calibri"/>
          <w:b/>
          <w:color w:val="525866"/>
          <w:sz w:val="22"/>
        </w:rPr>
        <w:t>site rental revenue of ~$942M and AFFO of ~$456M</w:t>
      </w:r>
      <w:r>
        <w:rPr>
          <w:rFonts w:ascii="Calibri" w:hAnsi="Calibri"/>
          <w:color w:val="525866"/>
          <w:sz w:val="22"/>
        </w:rPr>
        <w:t xml:space="preserve"> — both modestly below Q1 2026 actuals on a reported basis, reflecting the full-quarter absence of the divested fiber/small cell segment and continued DISH termination drag (~$220M annualized headwind). Management's posture has shifted constructively since the April 22 Q1 print: the fiber/small cell sale closed May 1 — two months ahead of the June 30 assumption embedded in original guidance — triggering a $50M AFFO guidance raise and $7B+ of debt repayment that cuts interest expense by ~$160M annually, while a $1B share buyback was authorized simultaneously. Estimate revisions have tracked guidance upward since the print, with Q2 2026 AFFO consensus rising from $439M (as of April 27) to $456M currently, suggesting the street has absorbed the guidance lift but has not materially over-shot. The stock has underperformed peers since earnings (CCI -11% vs. AMT -7%, SBAC -17%, SPY +5% since April 22), trading at a discount that reflects lingering DISH litigation uncertainty and the dividend cut overhang rather than deteriorating fundamentals. The key wildcard is the </w:t>
      </w:r>
      <w:r>
        <w:rPr>
          <w:rFonts w:ascii="Calibri" w:hAnsi="Calibri"/>
          <w:b/>
          <w:color w:val="525866"/>
          <w:sz w:val="22"/>
        </w:rPr>
        <w:t>DISH/EchoStar litigation</w:t>
      </w:r>
      <w:r>
        <w:rPr>
          <w:rFonts w:ascii="Calibri" w:hAnsi="Calibri"/>
          <w:color w:val="525866"/>
          <w:sz w:val="22"/>
        </w:rPr>
        <w:t>: the FCC's June 2026 set-aside action established what management called a 'floor,' but a court judgment is still required to access funds, and any incremental positive development — or delay — could move the stock meaningfully on results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heading into Q2 — estimates have been revised up post-fiber-sale but remain below Q1 actuals on most metrics due to the full-quarter DISH drag. </w:t>
      </w:r>
      <w:r>
        <w:rPr>
          <w:rFonts w:ascii="Calibri" w:hAnsi="Calibri"/>
          <w:b/>
          <w:color w:val="525866"/>
          <w:sz w:val="22"/>
        </w:rPr>
        <w:t>AFFO per share is the primary swing factor</w:t>
      </w:r>
      <w:r>
        <w:rPr>
          <w:rFonts w:ascii="Calibri" w:hAnsi="Calibri"/>
          <w:color w:val="525866"/>
          <w:sz w:val="22"/>
        </w:rPr>
        <w:t>; organic contribution growth (ex-Sprint/DISH) is the key read on underlying tower demand health.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Site Rental Revenue — Tower ($M)</w:t>
            </w:r>
          </w:p>
        </w:tc>
        <w:tc>
          <w:tcPr>
            <w:tcW w:type="dxa" w:w="1234"/>
          </w:tcPr>
          <w:p>
            <w:r>
              <w:rPr>
                <w:rFonts w:ascii="Calibri" w:hAnsi="Calibri"/>
                <w:sz w:val="22"/>
              </w:rPr>
              <w:t>$961</w:t>
            </w:r>
          </w:p>
        </w:tc>
        <w:tc>
          <w:tcPr>
            <w:tcW w:type="dxa" w:w="1234"/>
          </w:tcPr>
          <w:p>
            <w:r>
              <w:rPr>
                <w:rFonts w:ascii="Calibri" w:hAnsi="Calibri"/>
                <w:sz w:val="22"/>
              </w:rPr>
              <w:t>$1,008</w:t>
            </w:r>
          </w:p>
        </w:tc>
        <w:tc>
          <w:tcPr>
            <w:tcW w:type="dxa" w:w="1234"/>
          </w:tcPr>
          <w:p>
            <w:r>
              <w:rPr>
                <w:rFonts w:ascii="Calibri" w:hAnsi="Calibri"/>
                <w:sz w:val="22"/>
              </w:rPr>
              <w:t>$942</w:t>
            </w:r>
          </w:p>
        </w:tc>
        <w:tc>
          <w:tcPr>
            <w:tcW w:type="dxa" w:w="1234"/>
          </w:tcPr>
          <w:p>
            <w:r>
              <w:rPr>
                <w:rFonts w:ascii="Calibri" w:hAnsi="Calibri"/>
                <w:sz w:val="22"/>
              </w:rPr>
              <w:t>-6.5% YoY</w:t>
            </w:r>
          </w:p>
        </w:tc>
        <w:tc>
          <w:tcPr>
            <w:tcW w:type="dxa" w:w="1234"/>
          </w:tcPr>
          <w:p>
            <w:r>
              <w:rPr>
                <w:rFonts w:ascii="Calibri" w:hAnsi="Calibri"/>
                <w:sz w:val="22"/>
              </w:rPr>
              <w:t>$3,851M (FY midpoint)</w:t>
            </w:r>
          </w:p>
        </w:tc>
        <w:tc>
          <w:tcPr>
            <w:tcW w:type="dxa" w:w="1234"/>
          </w:tcPr>
          <w:p>
            <w:r>
              <w:rPr>
                <w:rFonts w:ascii="Calibri" w:hAnsi="Calibri"/>
                <w:sz w:val="22"/>
              </w:rPr>
              <w:t>~N/A (quarterly vs. FY)</w:t>
            </w:r>
          </w:p>
        </w:tc>
      </w:tr>
      <w:tr>
        <w:tc>
          <w:tcPr>
            <w:tcW w:type="dxa" w:w="1234"/>
          </w:tcPr>
          <w:p>
            <w:r>
              <w:rPr>
                <w:rFonts w:ascii="Calibri" w:hAnsi="Calibri"/>
                <w:sz w:val="22"/>
              </w:rPr>
              <w:t>Adjusted EBITDA ($M)</w:t>
            </w:r>
          </w:p>
        </w:tc>
        <w:tc>
          <w:tcPr>
            <w:tcW w:type="dxa" w:w="1234"/>
          </w:tcPr>
          <w:p>
            <w:r>
              <w:rPr>
                <w:rFonts w:ascii="Calibri" w:hAnsi="Calibri"/>
                <w:sz w:val="22"/>
              </w:rPr>
              <w:t>$676</w:t>
            </w:r>
          </w:p>
        </w:tc>
        <w:tc>
          <w:tcPr>
            <w:tcW w:type="dxa" w:w="1234"/>
          </w:tcPr>
          <w:p>
            <w:r>
              <w:rPr>
                <w:rFonts w:ascii="Calibri" w:hAnsi="Calibri"/>
                <w:sz w:val="22"/>
              </w:rPr>
              <w:t>$705</w:t>
            </w:r>
          </w:p>
        </w:tc>
        <w:tc>
          <w:tcPr>
            <w:tcW w:type="dxa" w:w="1234"/>
          </w:tcPr>
          <w:p>
            <w:r>
              <w:rPr>
                <w:rFonts w:ascii="Calibri" w:hAnsi="Calibri"/>
                <w:sz w:val="22"/>
              </w:rPr>
              <w:t>$656</w:t>
            </w:r>
          </w:p>
        </w:tc>
        <w:tc>
          <w:tcPr>
            <w:tcW w:type="dxa" w:w="1234"/>
          </w:tcPr>
          <w:p>
            <w:r>
              <w:rPr>
                <w:rFonts w:ascii="Calibri" w:hAnsi="Calibri"/>
                <w:sz w:val="22"/>
              </w:rPr>
              <w:t>-7.0% YoY</w:t>
            </w:r>
          </w:p>
        </w:tc>
        <w:tc>
          <w:tcPr>
            <w:tcW w:type="dxa" w:w="1234"/>
          </w:tcPr>
          <w:p>
            <w:r>
              <w:rPr>
                <w:rFonts w:ascii="Calibri" w:hAnsi="Calibri"/>
                <w:sz w:val="22"/>
              </w:rPr>
              <w:t>$2,690M (FY midpoint)</w:t>
            </w:r>
          </w:p>
        </w:tc>
        <w:tc>
          <w:tcPr>
            <w:tcW w:type="dxa" w:w="1234"/>
          </w:tcPr>
          <w:p>
            <w:r>
              <w:rPr>
                <w:rFonts w:ascii="Calibri" w:hAnsi="Calibri"/>
                <w:sz w:val="22"/>
              </w:rPr>
              <w:t>~N/A (quarterly vs. FY)</w:t>
            </w:r>
          </w:p>
        </w:tc>
      </w:tr>
      <w:tr>
        <w:tc>
          <w:tcPr>
            <w:tcW w:type="dxa" w:w="1234"/>
          </w:tcPr>
          <w:p>
            <w:r>
              <w:rPr>
                <w:rFonts w:ascii="Calibri" w:hAnsi="Calibri"/>
                <w:sz w:val="22"/>
              </w:rPr>
              <w:t>AFFO ($M)</w:t>
            </w:r>
          </w:p>
        </w:tc>
        <w:tc>
          <w:tcPr>
            <w:tcW w:type="dxa" w:w="1234"/>
          </w:tcPr>
          <w:p>
            <w:r>
              <w:rPr>
                <w:rFonts w:ascii="Calibri" w:hAnsi="Calibri"/>
                <w:sz w:val="22"/>
              </w:rPr>
              <w:t>$446</w:t>
            </w:r>
          </w:p>
        </w:tc>
        <w:tc>
          <w:tcPr>
            <w:tcW w:type="dxa" w:w="1234"/>
          </w:tcPr>
          <w:p>
            <w:r>
              <w:rPr>
                <w:rFonts w:ascii="Calibri" w:hAnsi="Calibri"/>
                <w:sz w:val="22"/>
              </w:rPr>
              <w:t>$444</w:t>
            </w:r>
          </w:p>
        </w:tc>
        <w:tc>
          <w:tcPr>
            <w:tcW w:type="dxa" w:w="1234"/>
          </w:tcPr>
          <w:p>
            <w:r>
              <w:rPr>
                <w:rFonts w:ascii="Calibri" w:hAnsi="Calibri"/>
                <w:sz w:val="22"/>
              </w:rPr>
              <w:t>$456</w:t>
            </w:r>
          </w:p>
        </w:tc>
        <w:tc>
          <w:tcPr>
            <w:tcW w:type="dxa" w:w="1234"/>
          </w:tcPr>
          <w:p>
            <w:r>
              <w:rPr>
                <w:rFonts w:ascii="Calibri" w:hAnsi="Calibri"/>
                <w:sz w:val="22"/>
              </w:rPr>
              <w:t>+2.7% YoY</w:t>
            </w:r>
          </w:p>
        </w:tc>
        <w:tc>
          <w:tcPr>
            <w:tcW w:type="dxa" w:w="1234"/>
          </w:tcPr>
          <w:p>
            <w:r>
              <w:rPr>
                <w:rFonts w:ascii="Calibri" w:hAnsi="Calibri"/>
                <w:sz w:val="22"/>
              </w:rPr>
              <w:t>$1,970M (FY midpoint)</w:t>
            </w:r>
          </w:p>
        </w:tc>
        <w:tc>
          <w:tcPr>
            <w:tcW w:type="dxa" w:w="1234"/>
          </w:tcPr>
          <w:p>
            <w:r>
              <w:rPr>
                <w:rFonts w:ascii="Calibri" w:hAnsi="Calibri"/>
                <w:sz w:val="22"/>
              </w:rPr>
              <w:t>~93% of FY run-rate (on track)</w:t>
            </w:r>
          </w:p>
        </w:tc>
      </w:tr>
      <w:tr>
        <w:tc>
          <w:tcPr>
            <w:tcW w:type="dxa" w:w="1234"/>
          </w:tcPr>
          <w:p>
            <w:r>
              <w:rPr>
                <w:rFonts w:ascii="Calibri" w:hAnsi="Calibri"/>
                <w:sz w:val="22"/>
              </w:rPr>
              <w:t>AFFO per Share ($)</w:t>
            </w:r>
          </w:p>
        </w:tc>
        <w:tc>
          <w:tcPr>
            <w:tcW w:type="dxa" w:w="1234"/>
          </w:tcPr>
          <w:p>
            <w:r>
              <w:rPr>
                <w:rFonts w:ascii="Calibri" w:hAnsi="Calibri"/>
                <w:sz w:val="22"/>
              </w:rPr>
              <w:t>$1.02</w:t>
            </w:r>
          </w:p>
        </w:tc>
        <w:tc>
          <w:tcPr>
            <w:tcW w:type="dxa" w:w="1234"/>
          </w:tcPr>
          <w:p>
            <w:r>
              <w:rPr>
                <w:rFonts w:ascii="Calibri" w:hAnsi="Calibri"/>
                <w:sz w:val="22"/>
              </w:rPr>
              <w:t>$1.02</w:t>
            </w:r>
          </w:p>
        </w:tc>
        <w:tc>
          <w:tcPr>
            <w:tcW w:type="dxa" w:w="1234"/>
          </w:tcPr>
          <w:p>
            <w:r>
              <w:rPr>
                <w:rFonts w:ascii="Calibri" w:hAnsi="Calibri"/>
                <w:sz w:val="22"/>
              </w:rPr>
              <w:t>$1.05</w:t>
            </w:r>
          </w:p>
        </w:tc>
        <w:tc>
          <w:tcPr>
            <w:tcW w:type="dxa" w:w="1234"/>
          </w:tcPr>
          <w:p>
            <w:r>
              <w:rPr>
                <w:rFonts w:ascii="Calibri" w:hAnsi="Calibri"/>
                <w:sz w:val="22"/>
              </w:rPr>
              <w:t>+2.9% YoY</w:t>
            </w:r>
          </w:p>
        </w:tc>
        <w:tc>
          <w:tcPr>
            <w:tcW w:type="dxa" w:w="1234"/>
          </w:tcPr>
          <w:p>
            <w:r>
              <w:rPr>
                <w:rFonts w:ascii="Calibri" w:hAnsi="Calibri"/>
                <w:sz w:val="22"/>
              </w:rPr>
              <w:t>$4.59 (FY midpoint)</w:t>
            </w:r>
          </w:p>
        </w:tc>
        <w:tc>
          <w:tcPr>
            <w:tcW w:type="dxa" w:w="1234"/>
          </w:tcPr>
          <w:p>
            <w:r>
              <w:rPr>
                <w:rFonts w:ascii="Calibri" w:hAnsi="Calibri"/>
                <w:sz w:val="22"/>
              </w:rPr>
              <w:t>~91% of FY run-rate (on track)</w:t>
            </w:r>
          </w:p>
        </w:tc>
      </w:tr>
      <w:tr>
        <w:tc>
          <w:tcPr>
            <w:tcW w:type="dxa" w:w="1234"/>
          </w:tcPr>
          <w:p>
            <w:r>
              <w:rPr>
                <w:rFonts w:ascii="Calibri" w:hAnsi="Calibri"/>
                <w:sz w:val="22"/>
              </w:rPr>
              <w:t>Organic Contribution Growth (%)</w:t>
            </w:r>
          </w:p>
        </w:tc>
        <w:tc>
          <w:tcPr>
            <w:tcW w:type="dxa" w:w="1234"/>
          </w:tcPr>
          <w:p>
            <w:r>
              <w:rPr>
                <w:rFonts w:ascii="Calibri" w:hAnsi="Calibri"/>
                <w:sz w:val="22"/>
              </w:rPr>
              <w:t>-2.07%</w:t>
            </w:r>
          </w:p>
        </w:tc>
        <w:tc>
          <w:tcPr>
            <w:tcW w:type="dxa" w:w="1234"/>
          </w:tcPr>
          <w:p>
            <w:r>
              <w:rPr>
                <w:rFonts w:ascii="Calibri" w:hAnsi="Calibri"/>
                <w:sz w:val="22"/>
              </w:rPr>
              <w:t>-0.62%</w:t>
            </w:r>
          </w:p>
        </w:tc>
        <w:tc>
          <w:tcPr>
            <w:tcW w:type="dxa" w:w="1234"/>
          </w:tcPr>
          <w:p>
            <w:r>
              <w:rPr>
                <w:rFonts w:ascii="Calibri" w:hAnsi="Calibri"/>
                <w:sz w:val="22"/>
              </w:rPr>
              <w:t>-2.86%</w:t>
            </w:r>
          </w:p>
        </w:tc>
        <w:tc>
          <w:tcPr>
            <w:tcW w:type="dxa" w:w="1234"/>
          </w:tcPr>
          <w:p>
            <w:r>
              <w:rPr>
                <w:rFonts w:ascii="Calibri" w:hAnsi="Calibri"/>
                <w:sz w:val="22"/>
              </w:rPr>
              <w:t>Worsening YoY</w:t>
            </w:r>
          </w:p>
        </w:tc>
        <w:tc>
          <w:tcPr>
            <w:tcW w:type="dxa" w:w="1234"/>
          </w:tcPr>
          <w:p>
            <w:r>
              <w:rPr>
                <w:rFonts w:ascii="Calibri" w:hAnsi="Calibri"/>
                <w:sz w:val="22"/>
              </w:rPr>
              <w:t>3.5% ex-DISH/Sprint (FY)</w:t>
            </w:r>
          </w:p>
        </w:tc>
        <w:tc>
          <w:tcPr>
            <w:tcW w:type="dxa" w:w="1234"/>
          </w:tcPr>
          <w:p>
            <w:r>
              <w:rPr>
                <w:rFonts w:ascii="Calibri" w:hAnsi="Calibri"/>
                <w:sz w:val="22"/>
              </w:rPr>
              <w:t>Consensus below FY ex-DISH target</w:t>
            </w:r>
          </w:p>
        </w:tc>
      </w:tr>
      <w:tr>
        <w:tc>
          <w:tcPr>
            <w:tcW w:type="dxa" w:w="1234"/>
          </w:tcPr>
          <w:p>
            <w:r>
              <w:rPr>
                <w:rFonts w:ascii="Calibri" w:hAnsi="Calibri"/>
                <w:sz w:val="22"/>
              </w:rPr>
              <w:t>G&amp;A ($M)</w:t>
            </w:r>
          </w:p>
        </w:tc>
        <w:tc>
          <w:tcPr>
            <w:tcW w:type="dxa" w:w="1234"/>
          </w:tcPr>
          <w:p>
            <w:r>
              <w:rPr>
                <w:rFonts w:ascii="Calibri" w:hAnsi="Calibri"/>
                <w:sz w:val="22"/>
              </w:rPr>
              <w:t>$90</w:t>
            </w:r>
          </w:p>
        </w:tc>
        <w:tc>
          <w:tcPr>
            <w:tcW w:type="dxa" w:w="1234"/>
          </w:tcPr>
          <w:p>
            <w:r>
              <w:rPr>
                <w:rFonts w:ascii="Calibri" w:hAnsi="Calibri"/>
                <w:sz w:val="22"/>
              </w:rPr>
              <w:t>$99</w:t>
            </w:r>
          </w:p>
        </w:tc>
        <w:tc>
          <w:tcPr>
            <w:tcW w:type="dxa" w:w="1234"/>
          </w:tcPr>
          <w:p>
            <w:r>
              <w:rPr>
                <w:rFonts w:ascii="Calibri" w:hAnsi="Calibri"/>
                <w:sz w:val="22"/>
              </w:rPr>
              <w:t>$91</w:t>
            </w:r>
          </w:p>
        </w:tc>
        <w:tc>
          <w:tcPr>
            <w:tcW w:type="dxa" w:w="1234"/>
          </w:tcPr>
          <w:p>
            <w:r>
              <w:rPr>
                <w:rFonts w:ascii="Calibri" w:hAnsi="Calibri"/>
                <w:sz w:val="22"/>
              </w:rPr>
              <w:t>-8.1% YoY</w:t>
            </w:r>
          </w:p>
        </w:tc>
        <w:tc>
          <w:tcPr>
            <w:tcW w:type="dxa" w:w="1234"/>
          </w:tcPr>
          <w:p>
            <w:r>
              <w:rPr>
                <w:rFonts w:ascii="Calibri" w:hAnsi="Calibri"/>
                <w:sz w:val="22"/>
              </w:rPr>
              <w:t>$358M (FY midpoint)</w:t>
            </w:r>
          </w:p>
        </w:tc>
        <w:tc>
          <w:tcPr>
            <w:tcW w:type="dxa" w:w="1234"/>
          </w:tcPr>
          <w:p>
            <w:r>
              <w:rPr>
                <w:rFonts w:ascii="Calibri" w:hAnsi="Calibri"/>
                <w:sz w:val="22"/>
              </w:rPr>
              <w:t>~91% of FY run-rate (on track)</w:t>
            </w:r>
          </w:p>
        </w:tc>
      </w:tr>
    </w:tbl>
    <w:p>
      <w:r>
        <w:rPr>
          <w:rFonts w:ascii="Calibri" w:hAnsi="Calibri"/>
          <w:color w:val="525866"/>
          <w:sz w:val="22"/>
        </w:rPr>
        <w:t>Source: Visible Alpha Consensus and Actuals Data. FY 2026 guidance midpoints per May 1, 2026 8-K (updated post-fiber-sale close). Organic Contribution Growth (%) reflects total including DISH/Sprint drag; management guides 3.5% ex-DISH/Sprint for FY 2026 as the low watermark. AFFO FY midpoint = $1,970M ($1,945M–$1,995M range per May 1 8-K update).</w:t>
      </w:r>
    </w:p>
    <w:p>
      <w:pPr>
        <w:pStyle w:val="Heading3"/>
      </w:pPr>
      <w:r>
        <w:rPr>
          <w:rFonts w:ascii="Calibri" w:hAnsi="Calibri"/>
          <w:b/>
          <w:color w:val="3B4259"/>
          <w:sz w:val="24"/>
        </w:rPr>
        <w:t>Table 2 — Beat/Miss History: Last 8 Quarters (Top 2 KPIs: AFFO per Share &amp; Site Rental Revenue — Tower)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AFFO/Share</w:t>
            </w:r>
          </w:p>
        </w:tc>
        <w:tc>
          <w:tcPr>
            <w:tcW w:type="dxa" w:w="1440"/>
          </w:tcPr>
          <w:p>
            <w:r>
              <w:rPr>
                <w:rFonts w:ascii="Calibri" w:hAnsi="Calibri"/>
                <w:sz w:val="22"/>
              </w:rPr>
              <w:t>$1.02</w:t>
            </w:r>
          </w:p>
        </w:tc>
        <w:tc>
          <w:tcPr>
            <w:tcW w:type="dxa" w:w="1440"/>
          </w:tcPr>
          <w:p>
            <w:r>
              <w:rPr>
                <w:rFonts w:ascii="Calibri" w:hAnsi="Calibri"/>
                <w:sz w:val="22"/>
              </w:rPr>
              <w:t>$0.98</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Site Rental Rev.</w:t>
            </w:r>
          </w:p>
        </w:tc>
        <w:tc>
          <w:tcPr>
            <w:tcW w:type="dxa" w:w="1440"/>
          </w:tcPr>
          <w:p>
            <w:r>
              <w:rPr>
                <w:rFonts w:ascii="Calibri" w:hAnsi="Calibri"/>
                <w:sz w:val="22"/>
              </w:rPr>
              <w:t>$961M</w:t>
            </w:r>
          </w:p>
        </w:tc>
        <w:tc>
          <w:tcPr>
            <w:tcW w:type="dxa" w:w="1440"/>
          </w:tcPr>
          <w:p>
            <w:r>
              <w:rPr>
                <w:rFonts w:ascii="Calibri" w:hAnsi="Calibri"/>
                <w:sz w:val="22"/>
              </w:rPr>
              <w:t>$944M</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AFFO/Share</w:t>
            </w:r>
          </w:p>
        </w:tc>
        <w:tc>
          <w:tcPr>
            <w:tcW w:type="dxa" w:w="1440"/>
          </w:tcPr>
          <w:p>
            <w:r>
              <w:rPr>
                <w:rFonts w:ascii="Calibri" w:hAnsi="Calibri"/>
                <w:sz w:val="22"/>
              </w:rPr>
              <w:t>$1.12</w:t>
            </w:r>
          </w:p>
        </w:tc>
        <w:tc>
          <w:tcPr>
            <w:tcW w:type="dxa" w:w="1440"/>
          </w:tcPr>
          <w:p>
            <w:r>
              <w:rPr>
                <w:rFonts w:ascii="Calibri" w:hAnsi="Calibri"/>
                <w:sz w:val="22"/>
              </w:rPr>
              <w:t>$1.06</w:t>
            </w:r>
          </w:p>
        </w:tc>
        <w:tc>
          <w:tcPr>
            <w:tcW w:type="dxa" w:w="1440"/>
          </w:tcPr>
          <w:p>
            <w:r>
              <w:rPr>
                <w:rFonts w:ascii="Calibri" w:hAnsi="Calibri"/>
                <w:b/>
                <w:color w:val="30A46C"/>
                <w:sz w:val="22"/>
              </w:rPr>
              <w:t>+5.7%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Site Rental Rev.</w:t>
            </w:r>
          </w:p>
        </w:tc>
        <w:tc>
          <w:tcPr>
            <w:tcW w:type="dxa" w:w="1440"/>
          </w:tcPr>
          <w:p>
            <w:r>
              <w:rPr>
                <w:rFonts w:ascii="Calibri" w:hAnsi="Calibri"/>
                <w:sz w:val="22"/>
              </w:rPr>
              <w:t>$1,019M</w:t>
            </w:r>
          </w:p>
        </w:tc>
        <w:tc>
          <w:tcPr>
            <w:tcW w:type="dxa" w:w="1440"/>
          </w:tcPr>
          <w:p>
            <w:r>
              <w:rPr>
                <w:rFonts w:ascii="Calibri" w:hAnsi="Calibri"/>
                <w:sz w:val="22"/>
              </w:rPr>
              <w:t>$1,008M</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AFFO/Share</w:t>
            </w:r>
          </w:p>
        </w:tc>
        <w:tc>
          <w:tcPr>
            <w:tcW w:type="dxa" w:w="1440"/>
          </w:tcPr>
          <w:p>
            <w:r>
              <w:rPr>
                <w:rFonts w:ascii="Calibri" w:hAnsi="Calibri"/>
                <w:sz w:val="22"/>
              </w:rPr>
              <w:t>$1.12</w:t>
            </w:r>
          </w:p>
        </w:tc>
        <w:tc>
          <w:tcPr>
            <w:tcW w:type="dxa" w:w="1440"/>
          </w:tcPr>
          <w:p>
            <w:r>
              <w:rPr>
                <w:rFonts w:ascii="Calibri" w:hAnsi="Calibri"/>
                <w:sz w:val="22"/>
              </w:rPr>
              <w:t>$1.05</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Site Rental Rev.</w:t>
            </w:r>
          </w:p>
        </w:tc>
        <w:tc>
          <w:tcPr>
            <w:tcW w:type="dxa" w:w="1440"/>
          </w:tcPr>
          <w:p>
            <w:r>
              <w:rPr>
                <w:rFonts w:ascii="Calibri" w:hAnsi="Calibri"/>
                <w:sz w:val="22"/>
              </w:rPr>
              <w:t>$1,012M</w:t>
            </w:r>
          </w:p>
        </w:tc>
        <w:tc>
          <w:tcPr>
            <w:tcW w:type="dxa" w:w="1440"/>
          </w:tcPr>
          <w:p>
            <w:r>
              <w:rPr>
                <w:rFonts w:ascii="Calibri" w:hAnsi="Calibri"/>
                <w:sz w:val="22"/>
              </w:rPr>
              <w:t>$1,002M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AFFO/Share</w:t>
            </w:r>
          </w:p>
        </w:tc>
        <w:tc>
          <w:tcPr>
            <w:tcW w:type="dxa" w:w="1440"/>
          </w:tcPr>
          <w:p>
            <w:r>
              <w:rPr>
                <w:rFonts w:ascii="Calibri" w:hAnsi="Calibri"/>
                <w:sz w:val="22"/>
              </w:rPr>
              <w:t>$1.02</w:t>
            </w:r>
          </w:p>
        </w:tc>
        <w:tc>
          <w:tcPr>
            <w:tcW w:type="dxa" w:w="1440"/>
          </w:tcPr>
          <w:p>
            <w:r>
              <w:rPr>
                <w:rFonts w:ascii="Calibri" w:hAnsi="Calibri"/>
                <w:sz w:val="22"/>
              </w:rPr>
              <w:t>$0.99</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Site Rental Rev.</w:t>
            </w:r>
          </w:p>
        </w:tc>
        <w:tc>
          <w:tcPr>
            <w:tcW w:type="dxa" w:w="1440"/>
          </w:tcPr>
          <w:p>
            <w:r>
              <w:rPr>
                <w:rFonts w:ascii="Calibri" w:hAnsi="Calibri"/>
                <w:sz w:val="22"/>
              </w:rPr>
              <w:t>$1,008M</w:t>
            </w:r>
          </w:p>
        </w:tc>
        <w:tc>
          <w:tcPr>
            <w:tcW w:type="dxa" w:w="1440"/>
          </w:tcPr>
          <w:p>
            <w:r>
              <w:rPr>
                <w:rFonts w:ascii="Calibri" w:hAnsi="Calibri"/>
                <w:sz w:val="22"/>
              </w:rPr>
              <w:t>$989M</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AFFO/Share</w:t>
            </w:r>
          </w:p>
        </w:tc>
        <w:tc>
          <w:tcPr>
            <w:tcW w:type="dxa" w:w="1440"/>
          </w:tcPr>
          <w:p>
            <w:r>
              <w:rPr>
                <w:rFonts w:ascii="Calibri" w:hAnsi="Calibri"/>
                <w:sz w:val="22"/>
              </w:rPr>
              <w:t>$1.10</w:t>
            </w:r>
          </w:p>
        </w:tc>
        <w:tc>
          <w:tcPr>
            <w:tcW w:type="dxa" w:w="1440"/>
          </w:tcPr>
          <w:p>
            <w:r>
              <w:rPr>
                <w:rFonts w:ascii="Calibri" w:hAnsi="Calibri"/>
                <w:sz w:val="22"/>
              </w:rPr>
              <w:t>$1.01</w:t>
            </w:r>
          </w:p>
        </w:tc>
        <w:tc>
          <w:tcPr>
            <w:tcW w:type="dxa" w:w="1440"/>
          </w:tcPr>
          <w:p>
            <w:r>
              <w:rPr>
                <w:rFonts w:ascii="Calibri" w:hAnsi="Calibri"/>
                <w:b/>
                <w:color w:val="30A46C"/>
                <w:sz w:val="22"/>
              </w:rPr>
              <w:t>+8.4%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Site Rental Rev.</w:t>
            </w:r>
          </w:p>
        </w:tc>
        <w:tc>
          <w:tcPr>
            <w:tcW w:type="dxa" w:w="1440"/>
          </w:tcPr>
          <w:p>
            <w:r>
              <w:rPr>
                <w:rFonts w:ascii="Calibri" w:hAnsi="Calibri"/>
                <w:sz w:val="22"/>
              </w:rPr>
              <w:t>$1,011M</w:t>
            </w:r>
          </w:p>
        </w:tc>
        <w:tc>
          <w:tcPr>
            <w:tcW w:type="dxa" w:w="1440"/>
          </w:tcPr>
          <w:p>
            <w:r>
              <w:rPr>
                <w:rFonts w:ascii="Calibri" w:hAnsi="Calibri"/>
                <w:sz w:val="22"/>
              </w:rPr>
              <w:t>$993M</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AFFO/Share</w:t>
            </w:r>
          </w:p>
        </w:tc>
        <w:tc>
          <w:tcPr>
            <w:tcW w:type="dxa" w:w="1440"/>
          </w:tcPr>
          <w:p>
            <w:r>
              <w:rPr>
                <w:rFonts w:ascii="Calibri" w:hAnsi="Calibri"/>
                <w:sz w:val="22"/>
              </w:rPr>
              <w:t>$1.80</w:t>
            </w:r>
          </w:p>
        </w:tc>
        <w:tc>
          <w:tcPr>
            <w:tcW w:type="dxa" w:w="1440"/>
          </w:tcPr>
          <w:p>
            <w:r>
              <w:rPr>
                <w:rFonts w:ascii="Calibri" w:hAnsi="Calibri"/>
                <w:sz w:val="22"/>
              </w:rPr>
              <w:t>$1.82</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Site Rental Rev.</w:t>
            </w:r>
          </w:p>
        </w:tc>
        <w:tc>
          <w:tcPr>
            <w:tcW w:type="dxa" w:w="1440"/>
          </w:tcPr>
          <w:p>
            <w:r>
              <w:rPr>
                <w:rFonts w:ascii="Calibri" w:hAnsi="Calibri"/>
                <w:sz w:val="22"/>
              </w:rPr>
              <w:t>$1,070M</w:t>
            </w:r>
          </w:p>
        </w:tc>
        <w:tc>
          <w:tcPr>
            <w:tcW w:type="dxa" w:w="1440"/>
          </w:tcPr>
          <w:p>
            <w:r>
              <w:rPr>
                <w:rFonts w:ascii="Calibri" w:hAnsi="Calibri"/>
                <w:sz w:val="22"/>
              </w:rPr>
              <w:t>$1,071M</w:t>
            </w:r>
          </w:p>
        </w:tc>
        <w:tc>
          <w:tcPr>
            <w:tcW w:type="dxa" w:w="1440"/>
          </w:tcPr>
          <w:p>
            <w:r>
              <w:rPr>
                <w:rFonts w:ascii="Calibri" w:hAnsi="Calibri"/>
                <w:b/>
                <w:color w:val="E5484D"/>
                <w:sz w:val="22"/>
              </w:rPr>
              <w:t>-0.1%</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AFFO/Share</w:t>
            </w:r>
          </w:p>
        </w:tc>
        <w:tc>
          <w:tcPr>
            <w:tcW w:type="dxa" w:w="1440"/>
          </w:tcPr>
          <w:p>
            <w:r>
              <w:rPr>
                <w:rFonts w:ascii="Calibri" w:hAnsi="Calibri"/>
                <w:sz w:val="22"/>
              </w:rPr>
              <w:t>$1.84</w:t>
            </w:r>
          </w:p>
        </w:tc>
        <w:tc>
          <w:tcPr>
            <w:tcW w:type="dxa" w:w="1440"/>
          </w:tcPr>
          <w:p>
            <w:r>
              <w:rPr>
                <w:rFonts w:ascii="Calibri" w:hAnsi="Calibri"/>
                <w:sz w:val="22"/>
              </w:rPr>
              <w:t>$1.79</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Site Rental Rev.</w:t>
            </w:r>
          </w:p>
        </w:tc>
        <w:tc>
          <w:tcPr>
            <w:tcW w:type="dxa" w:w="1440"/>
          </w:tcPr>
          <w:p>
            <w:r>
              <w:rPr>
                <w:rFonts w:ascii="Calibri" w:hAnsi="Calibri"/>
                <w:sz w:val="22"/>
              </w:rPr>
              <w:t>$1,065M</w:t>
            </w:r>
          </w:p>
        </w:tc>
        <w:tc>
          <w:tcPr>
            <w:tcW w:type="dxa" w:w="1440"/>
          </w:tcPr>
          <w:p>
            <w:r>
              <w:rPr>
                <w:rFonts w:ascii="Calibri" w:hAnsi="Calibri"/>
                <w:sz w:val="22"/>
              </w:rPr>
              <w:t>$1,067M</w:t>
            </w:r>
          </w:p>
        </w:tc>
        <w:tc>
          <w:tcPr>
            <w:tcW w:type="dxa" w:w="1440"/>
          </w:tcPr>
          <w:p>
            <w:r>
              <w:rPr>
                <w:rFonts w:ascii="Calibri" w:hAnsi="Calibri"/>
                <w:b/>
                <w:color w:val="E5484D"/>
                <w:sz w:val="22"/>
              </w:rPr>
              <w:t>-0.2%</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AFFO/Share</w:t>
            </w:r>
          </w:p>
        </w:tc>
        <w:tc>
          <w:tcPr>
            <w:tcW w:type="dxa" w:w="1440"/>
          </w:tcPr>
          <w:p>
            <w:r>
              <w:rPr>
                <w:rFonts w:ascii="Calibri" w:hAnsi="Calibri"/>
                <w:sz w:val="22"/>
              </w:rPr>
              <w:t>$1.62</w:t>
            </w:r>
          </w:p>
        </w:tc>
        <w:tc>
          <w:tcPr>
            <w:tcW w:type="dxa" w:w="1440"/>
          </w:tcPr>
          <w:p>
            <w:r>
              <w:rPr>
                <w:rFonts w:ascii="Calibri" w:hAnsi="Calibri"/>
                <w:sz w:val="22"/>
              </w:rPr>
              <w:t>$1.66</w:t>
            </w:r>
          </w:p>
        </w:tc>
        <w:tc>
          <w:tcPr>
            <w:tcW w:type="dxa" w:w="1440"/>
          </w:tcPr>
          <w:p>
            <w:r>
              <w:rPr>
                <w:rFonts w:ascii="Calibri" w:hAnsi="Calibri"/>
                <w:b/>
                <w:color w:val="E5484D"/>
                <w:sz w:val="22"/>
              </w:rPr>
              <w:t>-2.4%</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Site Rental Rev.</w:t>
            </w:r>
          </w:p>
        </w:tc>
        <w:tc>
          <w:tcPr>
            <w:tcW w:type="dxa" w:w="1440"/>
          </w:tcPr>
          <w:p>
            <w:r>
              <w:rPr>
                <w:rFonts w:ascii="Calibri" w:hAnsi="Calibri"/>
                <w:sz w:val="22"/>
              </w:rPr>
              <w:t>$1,064M</w:t>
            </w:r>
          </w:p>
        </w:tc>
        <w:tc>
          <w:tcPr>
            <w:tcW w:type="dxa" w:w="1440"/>
          </w:tcPr>
          <w:p>
            <w:r>
              <w:rPr>
                <w:rFonts w:ascii="Calibri" w:hAnsi="Calibri"/>
                <w:sz w:val="22"/>
              </w:rPr>
              <w:t>$1,056M</w:t>
            </w:r>
          </w:p>
        </w:tc>
        <w:tc>
          <w:tcPr>
            <w:tcW w:type="dxa" w:w="1440"/>
          </w:tcPr>
          <w:p>
            <w:r>
              <w:rPr>
                <w:rFonts w:ascii="Calibri" w:hAnsi="Calibri"/>
                <w:b/>
                <w:color w:val="30A46C"/>
                <w:sz w:val="22"/>
              </w:rPr>
              <w:t>+0.8%</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CCI has beaten AFFO/Share consensus in 5 of the last 8 quarters, with beats concentrated in the post-restructuring period (Q1–Q3 2025 and Q1 2026); the two misses in Q2–Q4 2024 coincided with the peak DISH/Sprint churn impact and pre-restructuring cost structure. The consistent beat pattern on AFFO since Q1 2025 reflects management's conservative guidance-setting discipline.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raised on May 1, 2026</w:t>
      </w:r>
      <w:r>
        <w:rPr>
          <w:rFonts w:ascii="Calibri" w:hAnsi="Calibri"/>
          <w:color w:val="525866"/>
          <w:sz w:val="22"/>
        </w:rPr>
        <w:t xml:space="preserve"> following the early fiber/small cell sale close — AFFO lifted by $50M at the midpoint to $1,970M — and has been unchanged since; management tone at the June 2026 Nareit conference shifted to </w:t>
      </w:r>
      <w:r>
        <w:rPr>
          <w:rFonts w:ascii="Calibri" w:hAnsi="Calibri"/>
          <w:b/>
          <w:color w:val="525866"/>
          <w:sz w:val="22"/>
        </w:rPr>
        <w:t>cautious optimism</w:t>
      </w:r>
      <w:r>
        <w:rPr>
          <w:rFonts w:ascii="Calibri" w:hAnsi="Calibri"/>
          <w:color w:val="525866"/>
          <w:sz w:val="22"/>
        </w:rPr>
        <w:t xml:space="preserve"> on DISH (FCC set-aside as a 'floor') and reaffirmed Q1 2026 organic growth as the cycle low watermark.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Site Rental Revenue</w:t>
            </w:r>
          </w:p>
        </w:tc>
        <w:tc>
          <w:tcPr>
            <w:tcW w:type="dxa" w:w="1728"/>
          </w:tcPr>
          <w:p>
            <w:r>
              <w:rPr>
                <w:rFonts w:ascii="Calibri" w:hAnsi="Calibri"/>
                <w:sz w:val="22"/>
              </w:rPr>
              <w:t>$3,828M – $3,873M</w:t>
            </w:r>
          </w:p>
        </w:tc>
        <w:tc>
          <w:tcPr>
            <w:tcW w:type="dxa" w:w="1728"/>
          </w:tcPr>
          <w:p>
            <w:r>
              <w:rPr>
                <w:rFonts w:ascii="Calibri" w:hAnsi="Calibri"/>
                <w:sz w:val="22"/>
              </w:rPr>
              <w:t>Unchanged</w:t>
            </w:r>
          </w:p>
        </w:tc>
        <w:tc>
          <w:tcPr>
            <w:tcW w:type="dxa" w:w="1728"/>
          </w:tcPr>
          <w:p>
            <w:r>
              <w:rPr>
                <w:rFonts w:ascii="Calibri" w:hAnsi="Calibri"/>
                <w:sz w:val="22"/>
              </w:rPr>
              <w:t>$3,853M</w:t>
            </w:r>
          </w:p>
        </w:tc>
        <w:tc>
          <w:tcPr>
            <w:tcW w:type="dxa" w:w="1728"/>
          </w:tcPr>
          <w:p>
            <w:r>
              <w:rPr>
                <w:rFonts w:ascii="Calibri" w:hAnsi="Calibri"/>
                <w:sz w:val="22"/>
              </w:rPr>
              <w:t>Unchanged at May 1 8-K; site rental revenue unaffected by earlier close timing</w:t>
            </w:r>
          </w:p>
        </w:tc>
      </w:tr>
      <w:tr>
        <w:tc>
          <w:tcPr>
            <w:tcW w:type="dxa" w:w="1728"/>
          </w:tcPr>
          <w:p>
            <w:r>
              <w:rPr>
                <w:rFonts w:ascii="Calibri" w:hAnsi="Calibri"/>
                <w:sz w:val="22"/>
              </w:rPr>
              <w:t>FY 2026 Adjusted EBITDA</w:t>
            </w:r>
          </w:p>
        </w:tc>
        <w:tc>
          <w:tcPr>
            <w:tcW w:type="dxa" w:w="1728"/>
          </w:tcPr>
          <w:p>
            <w:r>
              <w:rPr>
                <w:rFonts w:ascii="Calibri" w:hAnsi="Calibri"/>
                <w:sz w:val="22"/>
              </w:rPr>
              <w:t>$2,665M – $2,715M</w:t>
            </w:r>
          </w:p>
        </w:tc>
        <w:tc>
          <w:tcPr>
            <w:tcW w:type="dxa" w:w="1728"/>
          </w:tcPr>
          <w:p>
            <w:r>
              <w:rPr>
                <w:rFonts w:ascii="Calibri" w:hAnsi="Calibri"/>
                <w:sz w:val="22"/>
              </w:rPr>
              <w:t>Unchanged</w:t>
            </w:r>
          </w:p>
        </w:tc>
        <w:tc>
          <w:tcPr>
            <w:tcW w:type="dxa" w:w="1728"/>
          </w:tcPr>
          <w:p>
            <w:r>
              <w:rPr>
                <w:rFonts w:ascii="Calibri" w:hAnsi="Calibri"/>
                <w:sz w:val="22"/>
              </w:rPr>
              <w:t>$2,704M</w:t>
            </w:r>
          </w:p>
        </w:tc>
        <w:tc>
          <w:tcPr>
            <w:tcW w:type="dxa" w:w="1728"/>
          </w:tcPr>
          <w:p>
            <w:r>
              <w:rPr>
                <w:rFonts w:ascii="Calibri" w:hAnsi="Calibri"/>
                <w:sz w:val="22"/>
              </w:rPr>
              <w:t>Unchanged; EBITDA not impacted by interest timing</w:t>
            </w:r>
          </w:p>
        </w:tc>
      </w:tr>
      <w:tr>
        <w:tc>
          <w:tcPr>
            <w:tcW w:type="dxa" w:w="1728"/>
          </w:tcPr>
          <w:p>
            <w:r>
              <w:rPr>
                <w:rFonts w:ascii="Calibri" w:hAnsi="Calibri"/>
                <w:sz w:val="22"/>
              </w:rPr>
              <w:t>FY 2026 AFFO</w:t>
            </w:r>
          </w:p>
        </w:tc>
        <w:tc>
          <w:tcPr>
            <w:tcW w:type="dxa" w:w="1728"/>
          </w:tcPr>
          <w:p>
            <w:r>
              <w:rPr>
                <w:rFonts w:ascii="Calibri" w:hAnsi="Calibri"/>
                <w:sz w:val="22"/>
              </w:rPr>
              <w:t>$1,895M – $1,945M</w:t>
            </w:r>
          </w:p>
        </w:tc>
        <w:tc>
          <w:tcPr>
            <w:tcW w:type="dxa" w:w="1728"/>
          </w:tcPr>
          <w:p>
            <w:r>
              <w:rPr>
                <w:rFonts w:ascii="Calibri" w:hAnsi="Calibri"/>
                <w:sz w:val="22"/>
              </w:rPr>
              <w:t>↑ Raised to $1,945M – $1,995M</w:t>
            </w:r>
          </w:p>
        </w:tc>
        <w:tc>
          <w:tcPr>
            <w:tcW w:type="dxa" w:w="1728"/>
          </w:tcPr>
          <w:p>
            <w:r>
              <w:rPr>
                <w:rFonts w:ascii="Calibri" w:hAnsi="Calibri"/>
                <w:sz w:val="22"/>
              </w:rPr>
              <w:t>$1,960M</w:t>
            </w:r>
          </w:p>
        </w:tc>
        <w:tc>
          <w:tcPr>
            <w:tcW w:type="dxa" w:w="1728"/>
          </w:tcPr>
          <w:p>
            <w:r>
              <w:rPr>
                <w:rFonts w:ascii="Calibri" w:hAnsi="Calibri"/>
                <w:sz w:val="22"/>
              </w:rPr>
              <w:t>↑ Raised May 1, 2026 via 8-K; +$50M at midpoint from $40M lower interest expense + $10M higher interest income; fiber sale closed May 1 vs. June 30 assumed</w:t>
            </w:r>
          </w:p>
        </w:tc>
      </w:tr>
      <w:tr>
        <w:tc>
          <w:tcPr>
            <w:tcW w:type="dxa" w:w="1728"/>
          </w:tcPr>
          <w:p>
            <w:r>
              <w:rPr>
                <w:rFonts w:ascii="Calibri" w:hAnsi="Calibri"/>
                <w:sz w:val="22"/>
              </w:rPr>
              <w:t>FY 2026 AFFO per Share</w:t>
            </w:r>
          </w:p>
        </w:tc>
        <w:tc>
          <w:tcPr>
            <w:tcW w:type="dxa" w:w="1728"/>
          </w:tcPr>
          <w:p>
            <w:r>
              <w:rPr>
                <w:rFonts w:ascii="Calibri" w:hAnsi="Calibri"/>
                <w:sz w:val="22"/>
              </w:rPr>
              <w:t>$4.37 – $4.49</w:t>
            </w:r>
          </w:p>
        </w:tc>
        <w:tc>
          <w:tcPr>
            <w:tcW w:type="dxa" w:w="1728"/>
          </w:tcPr>
          <w:p>
            <w:r>
              <w:rPr>
                <w:rFonts w:ascii="Calibri" w:hAnsi="Calibri"/>
                <w:sz w:val="22"/>
              </w:rPr>
              <w:t>↑ Raised to $4.53 – $4.65</w:t>
            </w:r>
          </w:p>
        </w:tc>
        <w:tc>
          <w:tcPr>
            <w:tcW w:type="dxa" w:w="1728"/>
          </w:tcPr>
          <w:p>
            <w:r>
              <w:rPr>
                <w:rFonts w:ascii="Calibri" w:hAnsi="Calibri"/>
                <w:sz w:val="22"/>
              </w:rPr>
              <w:t>$4.52</w:t>
            </w:r>
          </w:p>
        </w:tc>
        <w:tc>
          <w:tcPr>
            <w:tcW w:type="dxa" w:w="1728"/>
          </w:tcPr>
          <w:p>
            <w:r>
              <w:rPr>
                <w:rFonts w:ascii="Calibri" w:hAnsi="Calibri"/>
                <w:sz w:val="22"/>
              </w:rPr>
              <w:t>↑ Raised May 1, 2026 via 8-K; +$0.16 at midpoint; reflects share count reduction from $1B buyback authorization</w:t>
            </w:r>
          </w:p>
        </w:tc>
      </w:tr>
      <w:tr>
        <w:tc>
          <w:tcPr>
            <w:tcW w:type="dxa" w:w="1728"/>
          </w:tcPr>
          <w:p>
            <w:r>
              <w:rPr>
                <w:rFonts w:ascii="Calibri" w:hAnsi="Calibri"/>
                <w:sz w:val="22"/>
              </w:rPr>
              <w:t>FY 2026 Discretionary CapEx</w:t>
            </w:r>
          </w:p>
        </w:tc>
        <w:tc>
          <w:tcPr>
            <w:tcW w:type="dxa" w:w="1728"/>
          </w:tcPr>
          <w:p>
            <w:r>
              <w:rPr>
                <w:rFonts w:ascii="Calibri" w:hAnsi="Calibri"/>
                <w:sz w:val="22"/>
              </w:rPr>
              <w:t>$150M – $250M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Focused on ground lease purchases and systems investment</w:t>
            </w:r>
          </w:p>
        </w:tc>
      </w:tr>
      <w:tr>
        <w:tc>
          <w:tcPr>
            <w:tcW w:type="dxa" w:w="1728"/>
          </w:tcPr>
          <w:p>
            <w:r>
              <w:rPr>
                <w:rFonts w:ascii="Calibri" w:hAnsi="Calibri"/>
                <w:sz w:val="22"/>
              </w:rPr>
              <w:t>FY 2026 Organic Growth (ex-DISH/Sprint)</w:t>
            </w:r>
          </w:p>
        </w:tc>
        <w:tc>
          <w:tcPr>
            <w:tcW w:type="dxa" w:w="1728"/>
          </w:tcPr>
          <w:p>
            <w:r>
              <w:rPr>
                <w:rFonts w:ascii="Calibri" w:hAnsi="Calibri"/>
                <w:sz w:val="22"/>
              </w:rPr>
              <w:t>3.5% (low watermark)</w:t>
            </w:r>
          </w:p>
        </w:tc>
        <w:tc>
          <w:tcPr>
            <w:tcW w:type="dxa" w:w="1728"/>
          </w:tcPr>
          <w:p>
            <w:r>
              <w:rPr>
                <w:rFonts w:ascii="Calibri" w:hAnsi="Calibri"/>
                <w:sz w:val="22"/>
              </w:rPr>
              <w:t>Reaffirmed at Nareit (Jun 2, 2026)</w:t>
            </w:r>
          </w:p>
        </w:tc>
        <w:tc>
          <w:tcPr>
            <w:tcW w:type="dxa" w:w="1728"/>
          </w:tcPr>
          <w:p>
            <w:r>
              <w:rPr>
                <w:rFonts w:ascii="Calibri" w:hAnsi="Calibri"/>
                <w:sz w:val="22"/>
              </w:rPr>
              <w:t>N/A</w:t>
            </w:r>
          </w:p>
        </w:tc>
        <w:tc>
          <w:tcPr>
            <w:tcW w:type="dxa" w:w="1728"/>
          </w:tcPr>
          <w:p>
            <w:r>
              <w:rPr>
                <w:rFonts w:ascii="Calibri" w:hAnsi="Calibri"/>
                <w:sz w:val="22"/>
              </w:rPr>
              <w:t>CEO reaffirmed 3.5% as cycle low watermark at Nareit REITweek; cited MLA visibility and data growth as basis for H2 acceleration confidence</w:t>
            </w:r>
          </w:p>
        </w:tc>
      </w:tr>
      <w:tr>
        <w:tc>
          <w:tcPr>
            <w:tcW w:type="dxa" w:w="1728"/>
          </w:tcPr>
          <w:p>
            <w:r>
              <w:rPr>
                <w:rFonts w:ascii="Calibri" w:hAnsi="Calibri"/>
                <w:sz w:val="22"/>
              </w:rPr>
              <w:t>DISH Litigation Posture</w:t>
            </w:r>
          </w:p>
        </w:tc>
        <w:tc>
          <w:tcPr>
            <w:tcW w:type="dxa" w:w="1728"/>
          </w:tcPr>
          <w:p>
            <w:r>
              <w:rPr>
                <w:rFonts w:ascii="Calibri" w:hAnsi="Calibri"/>
                <w:sz w:val="22"/>
              </w:rPr>
              <w:t>Aggressive pursuit; breach of contract claim added vs. DISH &amp; EchoStar</w:t>
            </w:r>
          </w:p>
        </w:tc>
        <w:tc>
          <w:tcPr>
            <w:tcW w:type="dxa" w:w="1728"/>
          </w:tcPr>
          <w:p>
            <w:r>
              <w:rPr>
                <w:rFonts w:ascii="Calibri" w:hAnsi="Calibri"/>
                <w:sz w:val="22"/>
              </w:rPr>
              <w:t>Cautious optimism post-FCC action (Jun 2026)</w:t>
            </w:r>
          </w:p>
        </w:tc>
        <w:tc>
          <w:tcPr>
            <w:tcW w:type="dxa" w:w="1728"/>
          </w:tcPr>
          <w:p>
            <w:r>
              <w:rPr>
                <w:rFonts w:ascii="Calibri" w:hAnsi="Calibri"/>
                <w:sz w:val="22"/>
              </w:rPr>
              <w:t>N/A</w:t>
            </w:r>
          </w:p>
        </w:tc>
        <w:tc>
          <w:tcPr>
            <w:tcW w:type="dxa" w:w="1728"/>
          </w:tcPr>
          <w:p>
            <w:r>
              <w:rPr>
                <w:rFonts w:ascii="Calibri" w:hAnsi="Calibri"/>
                <w:sz w:val="22"/>
              </w:rPr>
              <w:t>FCC set-aside from DISH spectrum sale established as 'floor'; judgment still required to access funds; management tone shifted to cautiously optimistic at Nareit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tracked guidance upward</w:t>
      </w:r>
      <w:r>
        <w:rPr>
          <w:rFonts w:ascii="Calibri" w:hAnsi="Calibri"/>
          <w:color w:val="525866"/>
          <w:sz w:val="22"/>
        </w:rPr>
        <w:t xml:space="preserve"> since the Q1 2026 print — Q2 2026 AFFO consensus rose ~4% from the post-print baseline, absorbing the May 1 guidance raise — but the street has not over-shot; </w:t>
      </w:r>
      <w:r>
        <w:rPr>
          <w:rFonts w:ascii="Calibri" w:hAnsi="Calibri"/>
          <w:b/>
          <w:color w:val="525866"/>
          <w:sz w:val="22"/>
        </w:rPr>
        <w:t>FY 2026 AFFO consensus sits just below the guidance midpoint</w:t>
      </w:r>
      <w:r>
        <w:rPr>
          <w:rFonts w:ascii="Calibri" w:hAnsi="Calibri"/>
          <w:color w:val="525866"/>
          <w:sz w:val="22"/>
        </w:rPr>
        <w:t>, suggesting modest upside cushion if H2 organic growth acceleration materializes as management expects.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27,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Site Rental Rev. — Tower (Q2 2026)</w:t>
            </w:r>
          </w:p>
        </w:tc>
        <w:tc>
          <w:tcPr>
            <w:tcW w:type="dxa" w:w="1080"/>
          </w:tcPr>
          <w:p>
            <w:r>
              <w:rPr>
                <w:rFonts w:ascii="Calibri" w:hAnsi="Calibri"/>
                <w:sz w:val="22"/>
              </w:rPr>
              <w:t>$942M</w:t>
            </w:r>
          </w:p>
        </w:tc>
        <w:tc>
          <w:tcPr>
            <w:tcW w:type="dxa" w:w="1080"/>
          </w:tcPr>
          <w:p>
            <w:r>
              <w:rPr>
                <w:rFonts w:ascii="Calibri" w:hAnsi="Calibri"/>
                <w:sz w:val="22"/>
              </w:rPr>
              <w:t>$942M</w:t>
            </w:r>
          </w:p>
        </w:tc>
        <w:tc>
          <w:tcPr>
            <w:tcW w:type="dxa" w:w="1080"/>
          </w:tcPr>
          <w:p>
            <w:r>
              <w:rPr>
                <w:rFonts w:ascii="Calibri" w:hAnsi="Calibri"/>
                <w:sz w:val="22"/>
              </w:rPr>
              <w:t>0.0%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 (Q2 2026)</w:t>
            </w:r>
          </w:p>
        </w:tc>
        <w:tc>
          <w:tcPr>
            <w:tcW w:type="dxa" w:w="1080"/>
          </w:tcPr>
          <w:p>
            <w:r>
              <w:rPr>
                <w:rFonts w:ascii="Calibri" w:hAnsi="Calibri"/>
                <w:sz w:val="22"/>
              </w:rPr>
              <w:t>$439M</w:t>
            </w:r>
          </w:p>
        </w:tc>
        <w:tc>
          <w:tcPr>
            <w:tcW w:type="dxa" w:w="1080"/>
          </w:tcPr>
          <w:p>
            <w:r>
              <w:rPr>
                <w:rFonts w:ascii="Calibri" w:hAnsi="Calibri"/>
                <w:sz w:val="22"/>
              </w:rPr>
              <w:t>$456M</w:t>
            </w:r>
          </w:p>
        </w:tc>
        <w:tc>
          <w:tcPr>
            <w:tcW w:type="dxa" w:w="1080"/>
          </w:tcPr>
          <w:p>
            <w:r>
              <w:rPr>
                <w:rFonts w:ascii="Calibri" w:hAnsi="Calibri"/>
                <w:b/>
                <w:color w:val="30A46C"/>
                <w:sz w:val="22"/>
              </w:rPr>
              <w:t>+3.9%</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 per Share (Q2 2026)</w:t>
            </w:r>
          </w:p>
        </w:tc>
        <w:tc>
          <w:tcPr>
            <w:tcW w:type="dxa" w:w="1080"/>
          </w:tcPr>
          <w:p>
            <w:r>
              <w:rPr>
                <w:rFonts w:ascii="Calibri" w:hAnsi="Calibri"/>
                <w:sz w:val="22"/>
              </w:rPr>
              <w:t>$1.00</w:t>
            </w:r>
          </w:p>
        </w:tc>
        <w:tc>
          <w:tcPr>
            <w:tcW w:type="dxa" w:w="1080"/>
          </w:tcPr>
          <w:p>
            <w:r>
              <w:rPr>
                <w:rFonts w:ascii="Calibri" w:hAnsi="Calibri"/>
                <w:sz w:val="22"/>
              </w:rPr>
              <w:t>$1.05</w:t>
            </w:r>
          </w:p>
        </w:tc>
        <w:tc>
          <w:tcPr>
            <w:tcW w:type="dxa" w:w="1080"/>
          </w:tcPr>
          <w:p>
            <w:r>
              <w:rPr>
                <w:rFonts w:ascii="Calibri" w:hAnsi="Calibri"/>
                <w:b/>
                <w:color w:val="30A46C"/>
                <w:sz w:val="22"/>
              </w:rPr>
              <w:t>+4.4%</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Contribution Growth (Q2 2026)</w:t>
            </w:r>
          </w:p>
        </w:tc>
        <w:tc>
          <w:tcPr>
            <w:tcW w:type="dxa" w:w="1080"/>
          </w:tcPr>
          <w:p>
            <w:r>
              <w:rPr>
                <w:rFonts w:ascii="Calibri" w:hAnsi="Calibri"/>
                <w:sz w:val="22"/>
              </w:rPr>
              <w:t>-2.81%</w:t>
            </w:r>
          </w:p>
        </w:tc>
        <w:tc>
          <w:tcPr>
            <w:tcW w:type="dxa" w:w="1080"/>
          </w:tcPr>
          <w:p>
            <w:r>
              <w:rPr>
                <w:rFonts w:ascii="Calibri" w:hAnsi="Calibri"/>
                <w:sz w:val="22"/>
              </w:rPr>
              <w:t>-2.86%</w:t>
            </w:r>
          </w:p>
        </w:tc>
        <w:tc>
          <w:tcPr>
            <w:tcW w:type="dxa" w:w="1080"/>
          </w:tcPr>
          <w:p>
            <w:r>
              <w:rPr>
                <w:rFonts w:ascii="Calibri" w:hAnsi="Calibri"/>
                <w:sz w:val="22"/>
              </w:rPr>
              <w:t>-0.2%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Site Rental Rev. — Tower (FY 2026)</w:t>
            </w:r>
          </w:p>
        </w:tc>
        <w:tc>
          <w:tcPr>
            <w:tcW w:type="dxa" w:w="1080"/>
          </w:tcPr>
          <w:p>
            <w:r>
              <w:rPr>
                <w:rFonts w:ascii="Calibri" w:hAnsi="Calibri"/>
                <w:sz w:val="22"/>
              </w:rPr>
              <w:t>$3,853M</w:t>
            </w:r>
          </w:p>
        </w:tc>
        <w:tc>
          <w:tcPr>
            <w:tcW w:type="dxa" w:w="1080"/>
          </w:tcPr>
          <w:p>
            <w:r>
              <w:rPr>
                <w:rFonts w:ascii="Calibri" w:hAnsi="Calibri"/>
                <w:sz w:val="22"/>
              </w:rPr>
              <w:t>$3,853M</w:t>
            </w:r>
          </w:p>
        </w:tc>
        <w:tc>
          <w:tcPr>
            <w:tcW w:type="dxa" w:w="1080"/>
          </w:tcPr>
          <w:p>
            <w:r>
              <w:rPr>
                <w:rFonts w:ascii="Calibri" w:hAnsi="Calibri"/>
                <w:sz w:val="22"/>
              </w:rPr>
              <w:t>0.0%</w:t>
            </w:r>
          </w:p>
        </w:tc>
        <w:tc>
          <w:tcPr>
            <w:tcW w:type="dxa" w:w="1080"/>
          </w:tcPr>
          <w:p>
            <w:r>
              <w:rPr>
                <w:rFonts w:ascii="Calibri" w:hAnsi="Calibri"/>
                <w:sz w:val="22"/>
              </w:rPr>
              <w:t>$3,828M – $3,873M</w:t>
            </w:r>
          </w:p>
        </w:tc>
        <w:tc>
          <w:tcPr>
            <w:tcW w:type="dxa" w:w="1080"/>
          </w:tcPr>
          <w:p>
            <w:r>
              <w:rPr>
                <w:rFonts w:ascii="Calibri" w:hAnsi="Calibri"/>
                <w:sz w:val="22"/>
              </w:rPr>
              <w:t>$3,828M – $3,873M (unchanged)</w:t>
            </w:r>
          </w:p>
        </w:tc>
        <w:tc>
          <w:tcPr>
            <w:tcW w:type="dxa" w:w="1080"/>
          </w:tcPr>
          <w:p>
            <w:r>
              <w:rPr>
                <w:rFonts w:ascii="Calibri" w:hAnsi="Calibri"/>
                <w:sz w:val="22"/>
              </w:rPr>
              <w:t>Unchanged</w:t>
            </w:r>
          </w:p>
        </w:tc>
        <w:tc>
          <w:tcPr>
            <w:tcW w:type="dxa" w:w="1080"/>
          </w:tcPr>
          <w:p>
            <w:r>
              <w:rPr>
                <w:rFonts w:ascii="Calibri" w:hAnsi="Calibri"/>
                <w:sz w:val="22"/>
              </w:rPr>
              <w:t>+0.1% vs. midpoint</w:t>
            </w:r>
          </w:p>
        </w:tc>
      </w:tr>
      <w:tr>
        <w:tc>
          <w:tcPr>
            <w:tcW w:type="dxa" w:w="1080"/>
          </w:tcPr>
          <w:p>
            <w:r>
              <w:rPr>
                <w:rFonts w:ascii="Calibri" w:hAnsi="Calibri"/>
                <w:sz w:val="22"/>
              </w:rPr>
              <w:t>AFFO (FY 2026)</w:t>
            </w:r>
          </w:p>
        </w:tc>
        <w:tc>
          <w:tcPr>
            <w:tcW w:type="dxa" w:w="1080"/>
          </w:tcPr>
          <w:p>
            <w:r>
              <w:rPr>
                <w:rFonts w:ascii="Calibri" w:hAnsi="Calibri"/>
                <w:sz w:val="22"/>
              </w:rPr>
              <w:t>$1,960M</w:t>
            </w:r>
          </w:p>
        </w:tc>
        <w:tc>
          <w:tcPr>
            <w:tcW w:type="dxa" w:w="1080"/>
          </w:tcPr>
          <w:p>
            <w:r>
              <w:rPr>
                <w:rFonts w:ascii="Calibri" w:hAnsi="Calibri"/>
                <w:sz w:val="22"/>
              </w:rPr>
              <w:t>$1,960M</w:t>
            </w:r>
          </w:p>
        </w:tc>
        <w:tc>
          <w:tcPr>
            <w:tcW w:type="dxa" w:w="1080"/>
          </w:tcPr>
          <w:p>
            <w:r>
              <w:rPr>
                <w:rFonts w:ascii="Calibri" w:hAnsi="Calibri"/>
                <w:sz w:val="22"/>
              </w:rPr>
              <w:t>0.0%</w:t>
            </w:r>
          </w:p>
        </w:tc>
        <w:tc>
          <w:tcPr>
            <w:tcW w:type="dxa" w:w="1080"/>
          </w:tcPr>
          <w:p>
            <w:r>
              <w:rPr>
                <w:rFonts w:ascii="Calibri" w:hAnsi="Calibri"/>
                <w:sz w:val="22"/>
              </w:rPr>
              <w:t>$1,895M – $1,945M</w:t>
            </w:r>
          </w:p>
        </w:tc>
        <w:tc>
          <w:tcPr>
            <w:tcW w:type="dxa" w:w="1080"/>
          </w:tcPr>
          <w:p>
            <w:r>
              <w:rPr>
                <w:rFonts w:ascii="Calibri" w:hAnsi="Calibri"/>
                <w:sz w:val="22"/>
              </w:rPr>
              <w:t>$1,945M – $1,995M (raised May 1)</w:t>
            </w:r>
          </w:p>
        </w:tc>
        <w:tc>
          <w:tcPr>
            <w:tcW w:type="dxa" w:w="1080"/>
          </w:tcPr>
          <w:p>
            <w:r>
              <w:rPr>
                <w:rFonts w:ascii="Calibri" w:hAnsi="Calibri"/>
                <w:sz w:val="22"/>
              </w:rPr>
              <w:t>+$50M at midpoint</w:t>
            </w:r>
          </w:p>
        </w:tc>
        <w:tc>
          <w:tcPr>
            <w:tcW w:type="dxa" w:w="1080"/>
          </w:tcPr>
          <w:p>
            <w:r>
              <w:rPr>
                <w:rFonts w:ascii="Calibri" w:hAnsi="Calibri"/>
                <w:sz w:val="22"/>
              </w:rPr>
              <w:t>-0.5% vs. midpoint (slight discount)</w:t>
            </w:r>
          </w:p>
        </w:tc>
      </w:tr>
      <w:tr>
        <w:tc>
          <w:tcPr>
            <w:tcW w:type="dxa" w:w="1080"/>
          </w:tcPr>
          <w:p>
            <w:r>
              <w:rPr>
                <w:rFonts w:ascii="Calibri" w:hAnsi="Calibri"/>
                <w:sz w:val="22"/>
              </w:rPr>
              <w:t>AFFO per Share (FY 2026)</w:t>
            </w:r>
          </w:p>
        </w:tc>
        <w:tc>
          <w:tcPr>
            <w:tcW w:type="dxa" w:w="1080"/>
          </w:tcPr>
          <w:p>
            <w:r>
              <w:rPr>
                <w:rFonts w:ascii="Calibri" w:hAnsi="Calibri"/>
                <w:sz w:val="22"/>
              </w:rPr>
              <w:t>$4.52</w:t>
            </w:r>
          </w:p>
        </w:tc>
        <w:tc>
          <w:tcPr>
            <w:tcW w:type="dxa" w:w="1080"/>
          </w:tcPr>
          <w:p>
            <w:r>
              <w:rPr>
                <w:rFonts w:ascii="Calibri" w:hAnsi="Calibri"/>
                <w:sz w:val="22"/>
              </w:rPr>
              <w:t>$4.52</w:t>
            </w:r>
          </w:p>
        </w:tc>
        <w:tc>
          <w:tcPr>
            <w:tcW w:type="dxa" w:w="1080"/>
          </w:tcPr>
          <w:p>
            <w:r>
              <w:rPr>
                <w:rFonts w:ascii="Calibri" w:hAnsi="Calibri"/>
                <w:sz w:val="22"/>
              </w:rPr>
              <w:t>0.0%</w:t>
            </w:r>
          </w:p>
        </w:tc>
        <w:tc>
          <w:tcPr>
            <w:tcW w:type="dxa" w:w="1080"/>
          </w:tcPr>
          <w:p>
            <w:r>
              <w:rPr>
                <w:rFonts w:ascii="Calibri" w:hAnsi="Calibri"/>
                <w:sz w:val="22"/>
              </w:rPr>
              <w:t>$4.37 – $4.49</w:t>
            </w:r>
          </w:p>
        </w:tc>
        <w:tc>
          <w:tcPr>
            <w:tcW w:type="dxa" w:w="1080"/>
          </w:tcPr>
          <w:p>
            <w:r>
              <w:rPr>
                <w:rFonts w:ascii="Calibri" w:hAnsi="Calibri"/>
                <w:sz w:val="22"/>
              </w:rPr>
              <w:t>$4.53 – $4.65 (raised May 1)</w:t>
            </w:r>
          </w:p>
        </w:tc>
        <w:tc>
          <w:tcPr>
            <w:tcW w:type="dxa" w:w="1080"/>
          </w:tcPr>
          <w:p>
            <w:r>
              <w:rPr>
                <w:rFonts w:ascii="Calibri" w:hAnsi="Calibri"/>
                <w:sz w:val="22"/>
              </w:rPr>
              <w:t>+$0.16 at midpoint</w:t>
            </w:r>
          </w:p>
        </w:tc>
        <w:tc>
          <w:tcPr>
            <w:tcW w:type="dxa" w:w="1080"/>
          </w:tcPr>
          <w:p>
            <w:r>
              <w:rPr>
                <w:rFonts w:ascii="Calibri" w:hAnsi="Calibri"/>
                <w:sz w:val="22"/>
              </w:rPr>
              <w:t>-1.5% vs. midpoint (slight discount)</w:t>
            </w:r>
          </w:p>
        </w:tc>
      </w:tr>
      <w:tr>
        <w:tc>
          <w:tcPr>
            <w:tcW w:type="dxa" w:w="1080"/>
          </w:tcPr>
          <w:p>
            <w:r>
              <w:rPr>
                <w:rFonts w:ascii="Calibri" w:hAnsi="Calibri"/>
                <w:sz w:val="22"/>
              </w:rPr>
              <w:t>Adjusted EBITDA (FY 2026)</w:t>
            </w:r>
          </w:p>
        </w:tc>
        <w:tc>
          <w:tcPr>
            <w:tcW w:type="dxa" w:w="1080"/>
          </w:tcPr>
          <w:p>
            <w:r>
              <w:rPr>
                <w:rFonts w:ascii="Calibri" w:hAnsi="Calibri"/>
                <w:sz w:val="22"/>
              </w:rPr>
              <w:t>$2,704M</w:t>
            </w:r>
          </w:p>
        </w:tc>
        <w:tc>
          <w:tcPr>
            <w:tcW w:type="dxa" w:w="1080"/>
          </w:tcPr>
          <w:p>
            <w:r>
              <w:rPr>
                <w:rFonts w:ascii="Calibri" w:hAnsi="Calibri"/>
                <w:sz w:val="22"/>
              </w:rPr>
              <w:t>$2,704M</w:t>
            </w:r>
          </w:p>
        </w:tc>
        <w:tc>
          <w:tcPr>
            <w:tcW w:type="dxa" w:w="1080"/>
          </w:tcPr>
          <w:p>
            <w:r>
              <w:rPr>
                <w:rFonts w:ascii="Calibri" w:hAnsi="Calibri"/>
                <w:sz w:val="22"/>
              </w:rPr>
              <w:t>0.0%</w:t>
            </w:r>
          </w:p>
        </w:tc>
        <w:tc>
          <w:tcPr>
            <w:tcW w:type="dxa" w:w="1080"/>
          </w:tcPr>
          <w:p>
            <w:r>
              <w:rPr>
                <w:rFonts w:ascii="Calibri" w:hAnsi="Calibri"/>
                <w:sz w:val="22"/>
              </w:rPr>
              <w:t>$2,665M – $2,715M</w:t>
            </w:r>
          </w:p>
        </w:tc>
        <w:tc>
          <w:tcPr>
            <w:tcW w:type="dxa" w:w="1080"/>
          </w:tcPr>
          <w:p>
            <w:r>
              <w:rPr>
                <w:rFonts w:ascii="Calibri" w:hAnsi="Calibri"/>
                <w:sz w:val="22"/>
              </w:rPr>
              <w:t>$2,665M – $2,715M (unchanged)</w:t>
            </w:r>
          </w:p>
        </w:tc>
        <w:tc>
          <w:tcPr>
            <w:tcW w:type="dxa" w:w="1080"/>
          </w:tcPr>
          <w:p>
            <w:r>
              <w:rPr>
                <w:rFonts w:ascii="Calibri" w:hAnsi="Calibri"/>
                <w:sz w:val="22"/>
              </w:rPr>
              <w:t>Unchanged</w:t>
            </w:r>
          </w:p>
        </w:tc>
        <w:tc>
          <w:tcPr>
            <w:tcW w:type="dxa" w:w="1080"/>
          </w:tcPr>
          <w:p>
            <w:r>
              <w:rPr>
                <w:rFonts w:ascii="Calibri" w:hAnsi="Calibri"/>
                <w:sz w:val="22"/>
              </w:rPr>
              <w:t>+0.5% vs. midpoint</w:t>
            </w:r>
          </w:p>
        </w:tc>
      </w:tr>
    </w:tbl>
    <w:p>
      <w:r>
        <w:rPr>
          <w:rFonts w:ascii="Calibri" w:hAnsi="Calibri"/>
          <w:i/>
          <w:color w:val="525866"/>
          <w:sz w:val="22"/>
        </w:rPr>
        <w:t xml:space="preserve">Source: Visible Alpha Consensus and Actuals Data; May 1, 2026 8-K (Guidance Update). </w:t>
      </w:r>
      <w:r>
        <w:rPr>
          <w:rFonts w:ascii="Calibri" w:hAnsi="Calibri"/>
          <w:i/>
          <w:color w:val="525866"/>
          <w:sz w:val="22"/>
        </w:rPr>
        <w:t>The key observation is that Q2 2026 AFFO/share consensus rose ~4.4% from the post-print baseline, fully absorbing the May 1 guidance raise, while FY 2026 estimates are essentially flat since the print and sit just below the raised guidance midpoint — a configuration that implies modest upside if H2 organic growth acceleration materializes as management has guided.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CCI has </w:t>
      </w:r>
      <w:r>
        <w:rPr>
          <w:rFonts w:ascii="Calibri" w:hAnsi="Calibri"/>
          <w:b/>
          <w:color w:val="525866"/>
          <w:sz w:val="22"/>
        </w:rPr>
        <w:t>underperformed both peers and the market</w:t>
      </w:r>
      <w:r>
        <w:rPr>
          <w:rFonts w:ascii="Calibri" w:hAnsi="Calibri"/>
          <w:color w:val="525866"/>
          <w:sz w:val="22"/>
        </w:rPr>
        <w:t xml:space="preserve"> since Q1 2026 earnings (April 22), declining ~11% vs. AMT -7%, SBAC -17%, and SPY +5% — the underperformance is driven by </w:t>
      </w:r>
      <w:r>
        <w:rPr>
          <w:rFonts w:ascii="Calibri" w:hAnsi="Calibri"/>
          <w:b/>
          <w:color w:val="525866"/>
          <w:sz w:val="22"/>
        </w:rPr>
        <w:t>multiple compression and sentiment</w:t>
      </w:r>
      <w:r>
        <w:rPr>
          <w:rFonts w:ascii="Calibri" w:hAnsi="Calibri"/>
          <w:color w:val="525866"/>
          <w:sz w:val="22"/>
        </w:rPr>
        <w:t xml:space="preserve"> (DISH litigation overhang, dividend cut memory) rather than estimate revisions, which have actually moved up.</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CCI vs. AMT / SBAC / S&amp;P 500 (SPY) — Indexed to 100 at April 22, 2026 (Q1 2026 Earnings Date). Source: Stock Price Data.</w:t>
      </w:r>
    </w:p>
    <w:p>
      <w:r>
        <w:rPr>
          <w:rFonts w:ascii="Calibri" w:hAnsi="Calibri"/>
          <w:color w:val="525866"/>
          <w:sz w:val="22"/>
        </w:rPr>
        <w:t>Since the Q1 2026 earnings print on April 22, 2026, CCI has declined from $86.01 to $76.20 (-11.4%), underperforming AMT (-7.3%, $176.31 to $163.39), SBAC (-16.5%, $211.86 to $176.82), and the S&amp;P 500 (+5.2%, SPY $711.21 to $748.28). The initial post-earnings reaction was modestly positive (stock rose to $89.26 by May 1 on the fiber sale close and buyback authorization), but the stock has since given back all gains and more. The mid-June to early July selloff (-14% from the May peak) coincided with broader REIT sector weakness and renewed concerns about the pace of DISH litigation resolution. Notably, CCI's underperformance vs. AMT has narrowed since late June, suggesting some of the idiosyncratic DISH discount may be stabilizing. The stock currently trades at a meaningful discount to its historical EV/EBITDA multiple, with analyst price targets implying substantial upside from current levels.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May 1 fiber/small cell sale close</w:t>
      </w:r>
      <w:r>
        <w:rPr>
          <w:rFonts w:ascii="Calibri" w:hAnsi="Calibri"/>
          <w:color w:val="525866"/>
          <w:sz w:val="22"/>
        </w:rPr>
        <w:t xml:space="preserve"> is the most consequential development since Q1 earnings — it transformed CCI's balance sheet, triggered a guidance raise, and launched the $1B buyback; the </w:t>
      </w:r>
      <w:r>
        <w:rPr>
          <w:rFonts w:ascii="Calibri" w:hAnsi="Calibri"/>
          <w:b/>
          <w:color w:val="525866"/>
          <w:sz w:val="22"/>
        </w:rPr>
        <w:t>FCC DISH set-aside action in June</w:t>
      </w:r>
      <w:r>
        <w:rPr>
          <w:rFonts w:ascii="Calibri" w:hAnsi="Calibri"/>
          <w:color w:val="525866"/>
          <w:sz w:val="22"/>
        </w:rPr>
        <w:t xml:space="preserve"> is the second most important, establishing a potential recovery floor for the litigation.</w:t>
      </w:r>
    </w:p>
    <w:p>
      <w:pPr>
        <w:pStyle w:val="ListBullet"/>
        <w:ind w:left="360" w:hanging="360"/>
      </w:pPr>
      <w:r>
        <w:rPr>
          <w:rFonts w:ascii="Calibri" w:hAnsi="Calibri"/>
          <w:b/>
          <w:color w:val="525866"/>
          <w:sz w:val="22"/>
        </w:rPr>
        <w:t>May 1, 2026 — Fiber &amp; Small Cell Sale Closes ($8.5B); $1B Buyback Authorized; Guidance Raised.</w:t>
      </w:r>
      <w:r>
        <w:rPr>
          <w:rFonts w:ascii="Calibri" w:hAnsi="Calibri"/>
          <w:color w:val="525866"/>
          <w:sz w:val="22"/>
        </w:rPr>
        <w:t xml:space="preserve"> Crown Castle completed the sale of its Fiber Solutions business to Zayo and Small Cell business to Arium Networks (EQT) for $8.5B gross ($8.4B net). Proceeds used to repay &gt;$7B of debt and fund a $1B share repurchase program. AFFO guidance raised by $50M at midpoint to $1,945M–$1,995M; AFFO/share raised by $0.16 to $4.53–$4.65. </w:t>
      </w:r>
      <w:r>
        <w:rPr>
          <w:rFonts w:ascii="Calibri" w:hAnsi="Calibri"/>
          <w:b/>
          <w:color w:val="525866"/>
          <w:sz w:val="22"/>
        </w:rPr>
        <w:t xml:space="preserve">Implication: </w:t>
      </w:r>
      <w:r>
        <w:rPr>
          <w:rFonts w:ascii="Calibri" w:hAnsi="Calibri"/>
          <w:color w:val="525866"/>
          <w:sz w:val="22"/>
        </w:rPr>
        <w:t>Transformative for the balance sheet; interest expense falls ~$160M annually; CCI is now a pure-play U.S. tower company. Positive for Q2 and beyond.</w:t>
      </w:r>
    </w:p>
    <w:p>
      <w:pPr>
        <w:pStyle w:val="ListBullet"/>
        <w:ind w:left="360" w:hanging="360"/>
      </w:pPr>
      <w:r>
        <w:rPr>
          <w:rFonts w:ascii="Calibri" w:hAnsi="Calibri"/>
          <w:b/>
          <w:color w:val="525866"/>
          <w:sz w:val="22"/>
        </w:rPr>
        <w:t>May 1, 2026 — New $4.5B Revolving Credit Facility Established.</w:t>
      </w:r>
      <w:r>
        <w:rPr>
          <w:rFonts w:ascii="Calibri" w:hAnsi="Calibri"/>
          <w:color w:val="525866"/>
          <w:sz w:val="22"/>
        </w:rPr>
        <w:t xml:space="preserve"> Crown Castle entered a new unsecured revolving credit facility with JPMorgan Chase as administrative agent, replacing the existing credit agreement. Facility matures May 1, 2031; pricing at SOFR + 75–137.5 bps based on credit rating. </w:t>
      </w:r>
      <w:r>
        <w:rPr>
          <w:rFonts w:ascii="Calibri" w:hAnsi="Calibri"/>
          <w:b/>
          <w:color w:val="525866"/>
          <w:sz w:val="22"/>
        </w:rPr>
        <w:t xml:space="preserve">Implication: </w:t>
      </w:r>
      <w:r>
        <w:rPr>
          <w:rFonts w:ascii="Calibri" w:hAnsi="Calibri"/>
          <w:color w:val="525866"/>
          <w:sz w:val="22"/>
        </w:rPr>
        <w:t>Strengthens liquidity post-fiber-sale; maintains investment-grade positioning at 6x–6.5x target leverage.</w:t>
      </w:r>
    </w:p>
    <w:p>
      <w:pPr>
        <w:pStyle w:val="ListBullet"/>
        <w:ind w:left="360" w:hanging="360"/>
      </w:pPr>
      <w:r>
        <w:rPr>
          <w:rFonts w:ascii="Calibri" w:hAnsi="Calibri"/>
          <w:b/>
          <w:color w:val="525866"/>
          <w:sz w:val="22"/>
        </w:rPr>
        <w:t>May 2026 — Two New Senior Leadership Appointments.</w:t>
      </w:r>
      <w:r>
        <w:rPr>
          <w:rFonts w:ascii="Calibri" w:hAnsi="Calibri"/>
          <w:color w:val="525866"/>
          <w:sz w:val="22"/>
        </w:rPr>
        <w:t xml:space="preserve"> Kris Hinson named Chief Commercial Officer (managing customer commercial relationships and commercial strategy); Mark Lennon named Chief Information Officer (leading data, digital, and information security). </w:t>
      </w:r>
      <w:r>
        <w:rPr>
          <w:rFonts w:ascii="Calibri" w:hAnsi="Calibri"/>
          <w:b/>
          <w:color w:val="525866"/>
          <w:sz w:val="22"/>
        </w:rPr>
        <w:t xml:space="preserve">Implication: </w:t>
      </w:r>
      <w:r>
        <w:rPr>
          <w:rFonts w:ascii="Calibri" w:hAnsi="Calibri"/>
          <w:color w:val="525866"/>
          <w:sz w:val="22"/>
        </w:rPr>
        <w:t>Signals organizational build-out for the pure-play tower strategy; CCO role is new and focused on organic growth execution.</w:t>
      </w:r>
    </w:p>
    <w:p>
      <w:pPr>
        <w:pStyle w:val="ListBullet"/>
        <w:ind w:left="360" w:hanging="360"/>
      </w:pPr>
      <w:r>
        <w:rPr>
          <w:rFonts w:ascii="Calibri" w:hAnsi="Calibri"/>
          <w:b/>
          <w:color w:val="525866"/>
          <w:sz w:val="22"/>
        </w:rPr>
        <w:t>June 2, 2026 — CCI CEO at Nareit REITweek: Reaffirmed Low Watermark; DISH Update.</w:t>
      </w:r>
      <w:r>
        <w:rPr>
          <w:rFonts w:ascii="Calibri" w:hAnsi="Calibri"/>
          <w:color w:val="525866"/>
          <w:sz w:val="22"/>
        </w:rPr>
        <w:t xml:space="preserve"> CEO Christian Hillabrant reaffirmed 3.5% organic growth (ex-DISH/Sprint) as the cycle low watermark, citing MLA visibility across the customer base. Disclosed FCC action establishing a 'set-aside' from DISH/EchoStar spectrum sale proceeds as a 'floor' for litigation recovery. Discussed edge compute trials (Project Qestrel), new tower build pipeline, and turnkey service packages. </w:t>
      </w:r>
      <w:r>
        <w:rPr>
          <w:rFonts w:ascii="Calibri" w:hAnsi="Calibri"/>
          <w:b/>
          <w:color w:val="525866"/>
          <w:sz w:val="22"/>
        </w:rPr>
        <w:t xml:space="preserve">Implication: </w:t>
      </w:r>
      <w:r>
        <w:rPr>
          <w:rFonts w:ascii="Calibri" w:hAnsi="Calibri"/>
          <w:color w:val="525866"/>
          <w:sz w:val="22"/>
        </w:rPr>
        <w:t>Constructive tone; FCC set-aside is a positive development for DISH recovery but a court judgment is still required.</w:t>
      </w:r>
    </w:p>
    <w:p>
      <w:pPr>
        <w:pStyle w:val="ListBullet"/>
        <w:ind w:left="360" w:hanging="360"/>
      </w:pPr>
      <w:r>
        <w:rPr>
          <w:rFonts w:ascii="Calibri" w:hAnsi="Calibri"/>
          <w:b/>
          <w:color w:val="525866"/>
          <w:sz w:val="22"/>
        </w:rPr>
        <w:t>June 2026 — FCC Action: DISH Spectrum Sale Set-Aside.</w:t>
      </w:r>
      <w:r>
        <w:rPr>
          <w:rFonts w:ascii="Calibri" w:hAnsi="Calibri"/>
          <w:color w:val="525866"/>
          <w:sz w:val="22"/>
        </w:rPr>
        <w:t xml:space="preserve"> The FCC Chairman established a set-aside from DISH/EchoStar spectrum sale proceeds to cover potential vendor claims, including Crown Castle's. Management characterized this as establishing a 'floor' for recovery. </w:t>
      </w:r>
      <w:r>
        <w:rPr>
          <w:rFonts w:ascii="Calibri" w:hAnsi="Calibri"/>
          <w:b/>
          <w:color w:val="525866"/>
          <w:sz w:val="22"/>
        </w:rPr>
        <w:t xml:space="preserve">Implication: </w:t>
      </w:r>
      <w:r>
        <w:rPr>
          <w:rFonts w:ascii="Calibri" w:hAnsi="Calibri"/>
          <w:color w:val="525866"/>
          <w:sz w:val="22"/>
        </w:rPr>
        <w:t>Positive for CCI's litigation position; reduces tail risk of zero recovery, though ultimate amount depends on number of claimants and a court judgment is still required.</w:t>
      </w:r>
    </w:p>
    <w:p>
      <w:pPr>
        <w:pStyle w:val="ListBullet"/>
        <w:ind w:left="360" w:hanging="360"/>
      </w:pPr>
      <w:r>
        <w:rPr>
          <w:rFonts w:ascii="Calibri" w:hAnsi="Calibri"/>
          <w:b/>
          <w:color w:val="525866"/>
          <w:sz w:val="22"/>
        </w:rPr>
        <w:t>June 30, 2026 — Q2 2026 Earnings Call Scheduled for July 22, 2026 After Market Close.</w:t>
      </w:r>
      <w:r>
        <w:rPr>
          <w:rFonts w:ascii="Calibri" w:hAnsi="Calibri"/>
          <w:color w:val="525866"/>
          <w:sz w:val="22"/>
        </w:rPr>
        <w:t xml:space="preserve"> Crown Castle announced Q2 2026 results will be released July 22, 2026 after market close, with a conference call at 5:00 PM ET. </w:t>
      </w:r>
      <w:r>
        <w:rPr>
          <w:rFonts w:ascii="Calibri" w:hAnsi="Calibri"/>
          <w:b/>
          <w:color w:val="525866"/>
          <w:sz w:val="22"/>
        </w:rPr>
        <w:t xml:space="preserve">Implication: </w:t>
      </w:r>
      <w:r>
        <w:rPr>
          <w:rFonts w:ascii="Calibri" w:hAnsi="Calibri"/>
          <w:color w:val="525866"/>
          <w:sz w:val="22"/>
        </w:rPr>
        <w:t>Confirms earnings date; no pre-announcement or guidance update issued alongside the scheduling notice.</w:t>
      </w:r>
    </w:p>
    <w:p>
      <w:pPr>
        <w:pStyle w:val="ListBullet"/>
        <w:ind w:left="360" w:hanging="360"/>
      </w:pPr>
      <w:r>
        <w:rPr>
          <w:rFonts w:ascii="Calibri" w:hAnsi="Calibri"/>
          <w:b/>
          <w:color w:val="525866"/>
          <w:sz w:val="22"/>
        </w:rPr>
        <w:t>Ongoing — DISH/EchoStar Litigation.</w:t>
      </w:r>
      <w:r>
        <w:rPr>
          <w:rFonts w:ascii="Calibri" w:hAnsi="Calibri"/>
          <w:color w:val="525866"/>
          <w:sz w:val="22"/>
        </w:rPr>
        <w:t xml:space="preserve"> Crown Castle is pursuing breach of contract claims against both DISH and EchoStar in federal court, seeking recovery of &gt;$3.5B in contractual payments. Management expects legal outcome to take at least a year from the Q1 2026 call. </w:t>
      </w:r>
      <w:r>
        <w:rPr>
          <w:rFonts w:ascii="Calibri" w:hAnsi="Calibri"/>
          <w:b/>
          <w:color w:val="525866"/>
          <w:sz w:val="22"/>
        </w:rPr>
        <w:t xml:space="preserve">Implication: </w:t>
      </w:r>
      <w:r>
        <w:rPr>
          <w:rFonts w:ascii="Calibri" w:hAnsi="Calibri"/>
          <w:color w:val="525866"/>
          <w:sz w:val="22"/>
        </w:rPr>
        <w:t>Remains the single largest overhang on the stock; any incremental update on the call (timeline, settlement discussions, FCC fund access) could be a significant catalyst.</w:t>
      </w:r>
    </w:p>
    <w:p>
      <w:pPr>
        <w:pStyle w:val="ListBullet"/>
        <w:ind w:left="360" w:hanging="360"/>
      </w:pPr>
      <w:r>
        <w:rPr>
          <w:rFonts w:ascii="Calibri" w:hAnsi="Calibri"/>
          <w:b/>
          <w:color w:val="525866"/>
          <w:sz w:val="22"/>
        </w:rPr>
        <w:t>Ongoing — Cost Efficiency &amp; Restructuring.</w:t>
      </w:r>
      <w:r>
        <w:rPr>
          <w:rFonts w:ascii="Calibri" w:hAnsi="Calibri"/>
          <w:color w:val="525866"/>
          <w:sz w:val="22"/>
        </w:rPr>
        <w:t xml:space="preserve"> Q1 2026 restructuring delivered $65M annualized run-rate cost savings. CFO targets &gt;200 bps of additional margin improvement from 2026 to 2030. Ground lease ownership targeted to increase from ~30% to ~40% over several years. </w:t>
      </w:r>
      <w:r>
        <w:rPr>
          <w:rFonts w:ascii="Calibri" w:hAnsi="Calibri"/>
          <w:b/>
          <w:color w:val="525866"/>
          <w:sz w:val="22"/>
        </w:rPr>
        <w:t xml:space="preserve">Implication: </w:t>
      </w:r>
      <w:r>
        <w:rPr>
          <w:rFonts w:ascii="Calibri" w:hAnsi="Calibri"/>
          <w:color w:val="525866"/>
          <w:sz w:val="22"/>
        </w:rPr>
        <w:t>Structural margin improvement story is intact; watch for Q2 G&amp;A and operating expense trends as evidence of execution.</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Q1 earnings — the only transactions are </w:t>
      </w:r>
      <w:r>
        <w:rPr>
          <w:rFonts w:ascii="Calibri" w:hAnsi="Calibri"/>
          <w:b/>
          <w:color w:val="525866"/>
          <w:sz w:val="22"/>
        </w:rPr>
        <w:t>equity award grants and tax-withholding shares</w:t>
      </w:r>
      <w:r>
        <w:rPr>
          <w:rFonts w:ascii="Calibri" w:hAnsi="Calibri"/>
          <w:color w:val="525866"/>
          <w:sz w:val="22"/>
        </w:rPr>
        <w:t xml:space="preserve"> tied to the May 1 fiber sale close and new leadership appointments; the one notable open-market buy is a director purchase of 820 shares on May 5. Nothing signals unusual insider conviction in either direction.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Kevin A. Stephens</w:t>
            </w:r>
          </w:p>
        </w:tc>
        <w:tc>
          <w:tcPr>
            <w:tcW w:type="dxa" w:w="1440"/>
          </w:tcPr>
          <w:p>
            <w:r>
              <w:rPr>
                <w:rFonts w:ascii="Calibri" w:hAnsi="Calibri"/>
                <w:sz w:val="22"/>
              </w:rPr>
              <w:t>Director</w:t>
            </w:r>
          </w:p>
        </w:tc>
        <w:tc>
          <w:tcPr>
            <w:tcW w:type="dxa" w:w="1440"/>
          </w:tcPr>
          <w:p>
            <w:r>
              <w:rPr>
                <w:rFonts w:ascii="Calibri" w:hAnsi="Calibri"/>
                <w:sz w:val="22"/>
              </w:rPr>
              <w:t>Open Market Buy (Code P)</w:t>
            </w:r>
          </w:p>
        </w:tc>
        <w:tc>
          <w:tcPr>
            <w:tcW w:type="dxa" w:w="1440"/>
          </w:tcPr>
          <w:p>
            <w:r>
              <w:rPr>
                <w:rFonts w:ascii="Calibri" w:hAnsi="Calibri"/>
                <w:sz w:val="22"/>
              </w:rPr>
              <w:t>820 shares</w:t>
            </w:r>
          </w:p>
        </w:tc>
        <w:tc>
          <w:tcPr>
            <w:tcW w:type="dxa" w:w="1440"/>
          </w:tcPr>
          <w:p>
            <w:r>
              <w:rPr>
                <w:rFonts w:ascii="Calibri" w:hAnsi="Calibri"/>
                <w:sz w:val="22"/>
              </w:rPr>
              <w:t>May 5, 2026</w:t>
            </w:r>
          </w:p>
        </w:tc>
        <w:tc>
          <w:tcPr>
            <w:tcW w:type="dxa" w:w="1440"/>
          </w:tcPr>
          <w:p>
            <w:r>
              <w:rPr>
                <w:rFonts w:ascii="Calibri" w:hAnsi="Calibri"/>
                <w:sz w:val="22"/>
              </w:rPr>
              <w:t>Discretionary open-market purchase; only outright buy in the period; modestly constructive signal from a board member</w:t>
            </w:r>
          </w:p>
        </w:tc>
      </w:tr>
      <w:tr>
        <w:tc>
          <w:tcPr>
            <w:tcW w:type="dxa" w:w="1440"/>
          </w:tcPr>
          <w:p>
            <w:r>
              <w:rPr>
                <w:rFonts w:ascii="Calibri" w:hAnsi="Calibri"/>
                <w:sz w:val="22"/>
              </w:rPr>
              <w:t>Kristoffer L. Hinson</w:t>
            </w:r>
          </w:p>
        </w:tc>
        <w:tc>
          <w:tcPr>
            <w:tcW w:type="dxa" w:w="1440"/>
          </w:tcPr>
          <w:p>
            <w:r>
              <w:rPr>
                <w:rFonts w:ascii="Calibri" w:hAnsi="Calibri"/>
                <w:sz w:val="22"/>
              </w:rPr>
              <w:t>EVP and CCO (new)</w:t>
            </w:r>
          </w:p>
        </w:tc>
        <w:tc>
          <w:tcPr>
            <w:tcW w:type="dxa" w:w="1440"/>
          </w:tcPr>
          <w:p>
            <w:r>
              <w:rPr>
                <w:rFonts w:ascii="Calibri" w:hAnsi="Calibri"/>
                <w:sz w:val="22"/>
              </w:rPr>
              <w:t>Award Grant (Code A)</w:t>
            </w:r>
          </w:p>
        </w:tc>
        <w:tc>
          <w:tcPr>
            <w:tcW w:type="dxa" w:w="1440"/>
          </w:tcPr>
          <w:p>
            <w:r>
              <w:rPr>
                <w:rFonts w:ascii="Calibri" w:hAnsi="Calibri"/>
                <w:sz w:val="22"/>
              </w:rPr>
              <w:t>11,083 shares (RSUs)</w:t>
            </w:r>
          </w:p>
        </w:tc>
        <w:tc>
          <w:tcPr>
            <w:tcW w:type="dxa" w:w="1440"/>
          </w:tcPr>
          <w:p>
            <w:r>
              <w:rPr>
                <w:rFonts w:ascii="Calibri" w:hAnsi="Calibri"/>
                <w:sz w:val="22"/>
              </w:rPr>
              <w:t>May 20, 2026</w:t>
            </w:r>
          </w:p>
        </w:tc>
        <w:tc>
          <w:tcPr>
            <w:tcW w:type="dxa" w:w="1440"/>
          </w:tcPr>
          <w:p>
            <w:r>
              <w:rPr>
                <w:rFonts w:ascii="Calibri" w:hAnsi="Calibri"/>
                <w:sz w:val="22"/>
              </w:rPr>
              <w:t>Time-based RSU grant tied to new CCO appointment; not a market transaction</w:t>
            </w:r>
          </w:p>
        </w:tc>
      </w:tr>
      <w:tr>
        <w:tc>
          <w:tcPr>
            <w:tcW w:type="dxa" w:w="1440"/>
          </w:tcPr>
          <w:p>
            <w:r>
              <w:rPr>
                <w:rFonts w:ascii="Calibri" w:hAnsi="Calibri"/>
                <w:sz w:val="22"/>
              </w:rPr>
              <w:t>Edward B. Adams Jr.</w:t>
            </w:r>
          </w:p>
        </w:tc>
        <w:tc>
          <w:tcPr>
            <w:tcW w:type="dxa" w:w="1440"/>
          </w:tcPr>
          <w:p>
            <w:r>
              <w:rPr>
                <w:rFonts w:ascii="Calibri" w:hAnsi="Calibri"/>
                <w:sz w:val="22"/>
              </w:rPr>
              <w:t>EVP and General Counsel</w:t>
            </w:r>
          </w:p>
        </w:tc>
        <w:tc>
          <w:tcPr>
            <w:tcW w:type="dxa" w:w="1440"/>
          </w:tcPr>
          <w:p>
            <w:r>
              <w:rPr>
                <w:rFonts w:ascii="Calibri" w:hAnsi="Calibri"/>
                <w:sz w:val="22"/>
              </w:rPr>
              <w:t>Award Grant (Code A) + Tax Withholding (Code F)</w:t>
            </w:r>
          </w:p>
        </w:tc>
        <w:tc>
          <w:tcPr>
            <w:tcW w:type="dxa" w:w="1440"/>
          </w:tcPr>
          <w:p>
            <w:r>
              <w:rPr>
                <w:rFonts w:ascii="Calibri" w:hAnsi="Calibri"/>
                <w:sz w:val="22"/>
              </w:rPr>
              <w:t>14,490 granted / 5,702 withheld</w:t>
            </w:r>
          </w:p>
        </w:tc>
        <w:tc>
          <w:tcPr>
            <w:tcW w:type="dxa" w:w="1440"/>
          </w:tcPr>
          <w:p>
            <w:r>
              <w:rPr>
                <w:rFonts w:ascii="Calibri" w:hAnsi="Calibri"/>
                <w:sz w:val="22"/>
              </w:rPr>
              <w:t>May 1, 2026</w:t>
            </w:r>
          </w:p>
        </w:tc>
        <w:tc>
          <w:tcPr>
            <w:tcW w:type="dxa" w:w="1440"/>
          </w:tcPr>
          <w:p>
            <w:r>
              <w:rPr>
                <w:rFonts w:ascii="Calibri" w:hAnsi="Calibri"/>
                <w:sz w:val="22"/>
              </w:rPr>
              <w:t>Equity award vesting tied to fiber sale close; tax withholding shares surrendered (Code F) — not a discretionary sale</w:t>
            </w:r>
          </w:p>
        </w:tc>
      </w:tr>
      <w:tr>
        <w:tc>
          <w:tcPr>
            <w:tcW w:type="dxa" w:w="1440"/>
          </w:tcPr>
          <w:p>
            <w:r>
              <w:rPr>
                <w:rFonts w:ascii="Calibri" w:hAnsi="Calibri"/>
                <w:sz w:val="22"/>
              </w:rPr>
              <w:t>Catherine Piche</w:t>
            </w:r>
          </w:p>
        </w:tc>
        <w:tc>
          <w:tcPr>
            <w:tcW w:type="dxa" w:w="1440"/>
          </w:tcPr>
          <w:p>
            <w:r>
              <w:rPr>
                <w:rFonts w:ascii="Calibri" w:hAnsi="Calibri"/>
                <w:sz w:val="22"/>
              </w:rPr>
              <w:t>EVP &amp; COO — Towers</w:t>
            </w:r>
          </w:p>
        </w:tc>
        <w:tc>
          <w:tcPr>
            <w:tcW w:type="dxa" w:w="1440"/>
          </w:tcPr>
          <w:p>
            <w:r>
              <w:rPr>
                <w:rFonts w:ascii="Calibri" w:hAnsi="Calibri"/>
                <w:sz w:val="22"/>
              </w:rPr>
              <w:t>Award Grant (Code A) + Tax Withholding (Code F)</w:t>
            </w:r>
          </w:p>
        </w:tc>
        <w:tc>
          <w:tcPr>
            <w:tcW w:type="dxa" w:w="1440"/>
          </w:tcPr>
          <w:p>
            <w:r>
              <w:rPr>
                <w:rFonts w:ascii="Calibri" w:hAnsi="Calibri"/>
                <w:sz w:val="22"/>
              </w:rPr>
              <w:t>5,031 granted / 2,186 withheld</w:t>
            </w:r>
          </w:p>
        </w:tc>
        <w:tc>
          <w:tcPr>
            <w:tcW w:type="dxa" w:w="1440"/>
          </w:tcPr>
          <w:p>
            <w:r>
              <w:rPr>
                <w:rFonts w:ascii="Calibri" w:hAnsi="Calibri"/>
                <w:sz w:val="22"/>
              </w:rPr>
              <w:t>May 1, 2026</w:t>
            </w:r>
          </w:p>
        </w:tc>
        <w:tc>
          <w:tcPr>
            <w:tcW w:type="dxa" w:w="1440"/>
          </w:tcPr>
          <w:p>
            <w:r>
              <w:rPr>
                <w:rFonts w:ascii="Calibri" w:hAnsi="Calibri"/>
                <w:sz w:val="22"/>
              </w:rPr>
              <w:t>Equity award vesting tied to fiber sale close; tax withholding shares surrendered (Code F) — not a discretionary sale</w:t>
            </w:r>
          </w:p>
        </w:tc>
      </w:tr>
      <w:tr>
        <w:tc>
          <w:tcPr>
            <w:tcW w:type="dxa" w:w="1440"/>
          </w:tcPr>
          <w:p>
            <w:r>
              <w:rPr>
                <w:rFonts w:ascii="Calibri" w:hAnsi="Calibri"/>
                <w:sz w:val="22"/>
              </w:rPr>
              <w:t>Robert Sean Collins</w:t>
            </w:r>
          </w:p>
        </w:tc>
        <w:tc>
          <w:tcPr>
            <w:tcW w:type="dxa" w:w="1440"/>
          </w:tcPr>
          <w:p>
            <w:r>
              <w:rPr>
                <w:rFonts w:ascii="Calibri" w:hAnsi="Calibri"/>
                <w:sz w:val="22"/>
              </w:rPr>
              <w:t>VP and Controller</w:t>
            </w:r>
          </w:p>
        </w:tc>
        <w:tc>
          <w:tcPr>
            <w:tcW w:type="dxa" w:w="1440"/>
          </w:tcPr>
          <w:p>
            <w:r>
              <w:rPr>
                <w:rFonts w:ascii="Calibri" w:hAnsi="Calibri"/>
                <w:sz w:val="22"/>
              </w:rPr>
              <w:t>Award Grant (Code A) + Tax Withholding (Code F)</w:t>
            </w:r>
          </w:p>
        </w:tc>
        <w:tc>
          <w:tcPr>
            <w:tcW w:type="dxa" w:w="1440"/>
          </w:tcPr>
          <w:p>
            <w:r>
              <w:rPr>
                <w:rFonts w:ascii="Calibri" w:hAnsi="Calibri"/>
                <w:sz w:val="22"/>
              </w:rPr>
              <w:t>1,138 granted / 325 withheld</w:t>
            </w:r>
          </w:p>
        </w:tc>
        <w:tc>
          <w:tcPr>
            <w:tcW w:type="dxa" w:w="1440"/>
          </w:tcPr>
          <w:p>
            <w:r>
              <w:rPr>
                <w:rFonts w:ascii="Calibri" w:hAnsi="Calibri"/>
                <w:sz w:val="22"/>
              </w:rPr>
              <w:t>May 1, 2026</w:t>
            </w:r>
          </w:p>
        </w:tc>
        <w:tc>
          <w:tcPr>
            <w:tcW w:type="dxa" w:w="1440"/>
          </w:tcPr>
          <w:p>
            <w:r>
              <w:rPr>
                <w:rFonts w:ascii="Calibri" w:hAnsi="Calibri"/>
                <w:sz w:val="22"/>
              </w:rPr>
              <w:t>Equity award vesting tied to fiber sale close; tax withholding shares surrendered (Code F) — not a discretionary sale</w:t>
            </w:r>
          </w:p>
        </w:tc>
      </w:tr>
    </w:tbl>
    <w:p>
      <w:r>
        <w:rPr>
          <w:rFonts w:ascii="Calibri" w:hAnsi="Calibri"/>
          <w:i/>
          <w:color w:val="525866"/>
          <w:sz w:val="22"/>
        </w:rPr>
        <w:t xml:space="preserve">Source: Insider Transaction Data (SEC Form 4 filings). </w:t>
      </w:r>
      <w:r>
        <w:rPr>
          <w:rFonts w:ascii="Calibri" w:hAnsi="Calibri"/>
          <w:i/>
          <w:color w:val="525866"/>
          <w:sz w:val="22"/>
        </w:rPr>
        <w:t>All May 1 transactions are equity award grants and tax-withholding surrenders tied to the fiber/small cell sale close milestone — these are obligation-driven and carry no directional signal. The only discretionary open-market transaction is Director Kevin Stephens' 820-share purchase on May 5, which is a modest but positive signal. No open-market sales by executives were filed in the period.</w:t>
      </w:r>
    </w:p>
    <w:p>
      <w:r>
        <w:br w:type="page"/>
      </w:r>
    </w:p>
    <w:p>
      <w:pPr>
        <w:pStyle w:val="Heading2"/>
      </w:pPr>
      <w:r>
        <w:rPr>
          <w:rFonts w:ascii="Calibri" w:hAnsi="Calibri"/>
          <w:b/>
          <w:color w:val="3B4259"/>
          <w:sz w:val="28"/>
        </w:rPr>
        <w:t>8.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Both AMT and SBAC commentary from May–June 2026 conferences is </w:t>
      </w:r>
      <w:r>
        <w:rPr>
          <w:rFonts w:ascii="Calibri" w:hAnsi="Calibri"/>
          <w:b/>
          <w:color w:val="525866"/>
          <w:sz w:val="22"/>
        </w:rPr>
        <w:t>constructive for CCI's Q2 setup</w:t>
      </w:r>
      <w:r>
        <w:rPr>
          <w:rFonts w:ascii="Calibri" w:hAnsi="Calibri"/>
          <w:color w:val="525866"/>
          <w:sz w:val="22"/>
        </w:rPr>
        <w:t xml:space="preserve"> — peers confirm healthy U.S. carrier demand, mid-single-digit organic growth visibility, and DISH churn as a receding headwind; the consistent message that 2026 is a trough year with acceleration into 2027 directly validates CCI management's 'low watermark' framing.</w:t>
      </w:r>
    </w:p>
    <w:p>
      <w:pPr>
        <w:pStyle w:val="Heading3"/>
      </w:pPr>
      <w:r>
        <w:rPr>
          <w:rFonts w:ascii="Calibri" w:hAnsi="Calibri"/>
          <w:b/>
          <w:color w:val="3B4259"/>
          <w:sz w:val="24"/>
        </w:rPr>
        <w:t>American Tower (AMT) — Nareit REITweek Investor Conference (June 3, 2026)</w:t>
      </w:r>
    </w:p>
    <w:p>
      <w:r>
        <w:rPr>
          <w:rFonts w:ascii="Calibri" w:hAnsi="Calibri"/>
          <w:b/>
          <w:color w:val="525866"/>
          <w:sz w:val="22"/>
        </w:rPr>
        <w:t xml:space="preserve">Relevance to CCI Q2: </w:t>
      </w:r>
      <w:r>
        <w:rPr>
          <w:rFonts w:ascii="Calibri" w:hAnsi="Calibri"/>
          <w:color w:val="525866"/>
          <w:sz w:val="22"/>
        </w:rPr>
        <w:t>High. AMT is CCI's closest U.S. tower peer and shares the same carrier customer base (AT&amp;T, Verizon, T-Mobile). AMT's commentary on U.S. leasing demand, DISH churn, and the organic growth trajectory is a direct read-through for CCI's Q2 results.</w:t>
      </w:r>
    </w:p>
    <w:p>
      <w:pPr>
        <w:pStyle w:val="ListBullet"/>
        <w:ind w:left="360" w:hanging="360"/>
      </w:pPr>
      <w:r>
        <w:rPr>
          <w:rFonts w:ascii="Calibri" w:hAnsi="Calibri"/>
          <w:b/>
          <w:color w:val="525866"/>
          <w:sz w:val="22"/>
        </w:rPr>
        <w:t>U.S. Demand Environment Described as 'Healthy' with No Signs of Slowing.</w:t>
      </w:r>
      <w:r>
        <w:rPr>
          <w:rFonts w:ascii="Calibri" w:hAnsi="Calibri"/>
          <w:color w:val="525866"/>
          <w:sz w:val="22"/>
        </w:rPr>
        <w:t xml:space="preserve"> AMT CEO Steven Vondran stated that current growth rate projections represent new business from the 3 carriers 'roughly in line with the average new business we've had even when we had 6, 5, and 4 carriers' — a strong statement that the consolidated 3-carrier market is not a structural headwind. He explicitly said 'we see a healthy demand environment for new business, and we don't see that changing based on interest rates or really anything else other than mobile data growth.' </w:t>
      </w:r>
      <w:r>
        <w:rPr>
          <w:rFonts w:ascii="Calibri" w:hAnsi="Calibri"/>
          <w:b/>
          <w:color w:val="525866"/>
          <w:sz w:val="22"/>
        </w:rPr>
        <w:t xml:space="preserve">CCI Read-Through: </w:t>
      </w:r>
      <w:r>
        <w:rPr>
          <w:rFonts w:ascii="Calibri" w:hAnsi="Calibri"/>
          <w:color w:val="525866"/>
          <w:sz w:val="22"/>
        </w:rPr>
        <w:t>Validates CCI management's confidence in mid-single-digit organic growth (ex-DISH/Sprint) as a sustainable baseline; reduces risk that Q2 leasing activity disappointed.</w:t>
      </w:r>
    </w:p>
    <w:p>
      <w:pPr>
        <w:pStyle w:val="ListBullet"/>
        <w:ind w:left="360" w:hanging="360"/>
      </w:pPr>
      <w:r>
        <w:rPr>
          <w:rFonts w:ascii="Calibri" w:hAnsi="Calibri"/>
          <w:b/>
          <w:color w:val="525866"/>
          <w:sz w:val="22"/>
        </w:rPr>
        <w:t>DISH Churn Fully Behind AMT; Litigation Continues.</w:t>
      </w:r>
      <w:r>
        <w:rPr>
          <w:rFonts w:ascii="Calibri" w:hAnsi="Calibri"/>
          <w:color w:val="525866"/>
          <w:sz w:val="22"/>
        </w:rPr>
        <w:t xml:space="preserve"> AMT stated it has 'churned DISH at 100%' and that 'everything we're telling you would plan to do is ex-DISH.' AMT also confirmed it has filed litigation against DISH to enforce contractual commitments, and that pursuit 'continues regardless of spectrum transfer and any other FCC actions.' The $2.4B EchoStar trust fund is viewed as a 'limited safety net' but does not cap what the court system could award. </w:t>
      </w:r>
      <w:r>
        <w:rPr>
          <w:rFonts w:ascii="Calibri" w:hAnsi="Calibri"/>
          <w:b/>
          <w:color w:val="525866"/>
          <w:sz w:val="22"/>
        </w:rPr>
        <w:t xml:space="preserve">CCI Read-Through: </w:t>
      </w:r>
      <w:r>
        <w:rPr>
          <w:rFonts w:ascii="Calibri" w:hAnsi="Calibri"/>
          <w:color w:val="525866"/>
          <w:sz w:val="22"/>
        </w:rPr>
        <w:t>Confirms the industry-wide DISH churn is fully reflected in run-rates; AMT's parallel litigation posture validates CCI's aggressive legal strategy. The trust fund commentary is relevant context for CCI's FCC set-aside discussion.</w:t>
      </w:r>
    </w:p>
    <w:p>
      <w:pPr>
        <w:pStyle w:val="ListBullet"/>
        <w:ind w:left="360" w:hanging="360"/>
      </w:pPr>
      <w:r>
        <w:rPr>
          <w:rFonts w:ascii="Calibri" w:hAnsi="Calibri"/>
          <w:b/>
          <w:color w:val="525866"/>
          <w:sz w:val="22"/>
        </w:rPr>
        <w:t>Mobile Data Growth of 35% YoY in 2025 — Largest on Record.</w:t>
      </w:r>
      <w:r>
        <w:rPr>
          <w:rFonts w:ascii="Calibri" w:hAnsi="Calibri"/>
          <w:color w:val="525866"/>
          <w:sz w:val="22"/>
        </w:rPr>
        <w:t xml:space="preserve"> AMT cited CTIA data showing U.S. mobile data consumption grew ~35% year-on-year in 2025, the largest single-year increase on record, and projected a doubling of network capacity required by end of decade. AMT estimates half of this demand will require densification (adding sites and equipment). </w:t>
      </w:r>
      <w:r>
        <w:rPr>
          <w:rFonts w:ascii="Calibri" w:hAnsi="Calibri"/>
          <w:b/>
          <w:color w:val="525866"/>
          <w:sz w:val="22"/>
        </w:rPr>
        <w:t xml:space="preserve">CCI Read-Through: </w:t>
      </w:r>
      <w:r>
        <w:rPr>
          <w:rFonts w:ascii="Calibri" w:hAnsi="Calibri"/>
          <w:color w:val="525866"/>
          <w:sz w:val="22"/>
        </w:rPr>
        <w:t>CCI CEO cited the same CTIA data at Nareit. This is the primary demand driver underpinning CCI's H2 2026 organic growth acceleration thesis; AMT's corroboration strengthens the bull case.</w:t>
      </w:r>
    </w:p>
    <w:p>
      <w:pPr>
        <w:pStyle w:val="ListBullet"/>
        <w:ind w:left="360" w:hanging="360"/>
      </w:pPr>
      <w:r>
        <w:rPr>
          <w:rFonts w:ascii="Calibri" w:hAnsi="Calibri"/>
          <w:b/>
          <w:color w:val="525866"/>
          <w:sz w:val="22"/>
        </w:rPr>
        <w:t>Mid-to-High Single-Digit AFFO/Share Growth Algorithm Reiterated.</w:t>
      </w:r>
      <w:r>
        <w:rPr>
          <w:rFonts w:ascii="Calibri" w:hAnsi="Calibri"/>
          <w:color w:val="525866"/>
          <w:sz w:val="22"/>
        </w:rPr>
        <w:t xml:space="preserve"> AMT reiterated its long-term algorithm of mid-to-high single-digit AFFO/share growth, underpinned by mid-single-digit U.S. organic tenant billings growth and 200–300 bps of margin expansion over several years. </w:t>
      </w:r>
      <w:r>
        <w:rPr>
          <w:rFonts w:ascii="Calibri" w:hAnsi="Calibri"/>
          <w:b/>
          <w:color w:val="525866"/>
          <w:sz w:val="22"/>
        </w:rPr>
        <w:t xml:space="preserve">CCI Read-Through: </w:t>
      </w:r>
      <w:r>
        <w:rPr>
          <w:rFonts w:ascii="Calibri" w:hAnsi="Calibri"/>
          <w:color w:val="525866"/>
          <w:sz w:val="22"/>
        </w:rPr>
        <w:t>AMT's margin expansion target (200–300 bps) is directionally consistent with CCI CFO's target of &gt;200 bps additional improvement from 2026–2030; validates the sector-wide efficiency opportunity.</w:t>
      </w:r>
    </w:p>
    <w:p>
      <w:pPr>
        <w:pStyle w:val="ListBullet"/>
        <w:ind w:left="360" w:hanging="360"/>
      </w:pPr>
      <w:r>
        <w:rPr>
          <w:rFonts w:ascii="Calibri" w:hAnsi="Calibri"/>
          <w:b/>
          <w:color w:val="525866"/>
          <w:sz w:val="22"/>
        </w:rPr>
        <w:t>Edge Compute / AI at Tower Sites: Early-Stage but Real.</w:t>
      </w:r>
      <w:r>
        <w:rPr>
          <w:rFonts w:ascii="Calibri" w:hAnsi="Calibri"/>
          <w:color w:val="525866"/>
          <w:sz w:val="22"/>
        </w:rPr>
        <w:t xml:space="preserve"> AMT has deployed a data center on a tower site in Raleigh, NC as a 'playground' for edge compute. CEO stated 'we are highly confident that the Edge is coming' as a necessary network component. </w:t>
      </w:r>
      <w:r>
        <w:rPr>
          <w:rFonts w:ascii="Calibri" w:hAnsi="Calibri"/>
          <w:b/>
          <w:color w:val="525866"/>
          <w:sz w:val="22"/>
        </w:rPr>
        <w:t xml:space="preserve">CCI Read-Through: </w:t>
      </w:r>
      <w:r>
        <w:rPr>
          <w:rFonts w:ascii="Calibri" w:hAnsi="Calibri"/>
          <w:color w:val="525866"/>
          <w:sz w:val="22"/>
        </w:rPr>
        <w:t>Validates CCI's Project Qestrel edge compute initiative (Available Infrastructure partnership); both companies are pursuing the same opportunity with limited capital. Not a near-term revenue driver but a positive optionality signal.</w:t>
      </w:r>
    </w:p>
    <w:p>
      <w:pPr>
        <w:pStyle w:val="Heading3"/>
      </w:pPr>
      <w:r>
        <w:rPr>
          <w:rFonts w:ascii="Calibri" w:hAnsi="Calibri"/>
          <w:b/>
          <w:color w:val="3B4259"/>
          <w:sz w:val="24"/>
        </w:rPr>
        <w:t>American Tower (AMT) — JP Morgan Global Technology, Media &amp; Communications Conference (May 19, 2026)</w:t>
      </w:r>
    </w:p>
    <w:p>
      <w:r>
        <w:rPr>
          <w:rFonts w:ascii="Calibri" w:hAnsi="Calibri"/>
          <w:b/>
          <w:color w:val="525866"/>
          <w:sz w:val="22"/>
        </w:rPr>
        <w:t xml:space="preserve">Relevance to CCI Q2: </w:t>
      </w:r>
      <w:r>
        <w:rPr>
          <w:rFonts w:ascii="Calibri" w:hAnsi="Calibri"/>
          <w:color w:val="525866"/>
          <w:sz w:val="22"/>
        </w:rPr>
        <w:t>High. AMT CFO Rodney Smith provided detailed commentary on U.S. tower leasing trends, carrier spending, and the organic growth trajectory heading into Q2 2026.</w:t>
      </w:r>
    </w:p>
    <w:p>
      <w:pPr>
        <w:pStyle w:val="ListBullet"/>
        <w:ind w:left="360" w:hanging="360"/>
      </w:pPr>
      <w:r>
        <w:rPr>
          <w:rFonts w:ascii="Calibri" w:hAnsi="Calibri"/>
          <w:b/>
          <w:color w:val="525866"/>
          <w:sz w:val="22"/>
        </w:rPr>
        <w:t>U.S. Business 'More Stable Than in Decades'; Sprint and DISH Churn Behind.</w:t>
      </w:r>
      <w:r>
        <w:rPr>
          <w:rFonts w:ascii="Calibri" w:hAnsi="Calibri"/>
          <w:color w:val="525866"/>
          <w:sz w:val="22"/>
        </w:rPr>
        <w:t xml:space="preserve"> AMT CFO stated the U.S. business is 'more stable than I would say it has been in decades with the Sprint churn behind us, the DISH churn now behind us.' Cash flows described as 'incredibly stable.' </w:t>
      </w:r>
      <w:r>
        <w:rPr>
          <w:rFonts w:ascii="Calibri" w:hAnsi="Calibri"/>
          <w:b/>
          <w:color w:val="525866"/>
          <w:sz w:val="22"/>
        </w:rPr>
        <w:t xml:space="preserve">CCI Read-Through: </w:t>
      </w:r>
      <w:r>
        <w:rPr>
          <w:rFonts w:ascii="Calibri" w:hAnsi="Calibri"/>
          <w:color w:val="525866"/>
          <w:sz w:val="22"/>
        </w:rPr>
        <w:t>Directly validates CCI's narrative that 2026 is a trough year; once DISH churn rolls off CCI's numbers (fully reflected in 2026 guidance), the underlying business should show similar stability.</w:t>
      </w:r>
    </w:p>
    <w:p>
      <w:pPr>
        <w:pStyle w:val="ListBullet"/>
        <w:ind w:left="360" w:hanging="360"/>
      </w:pPr>
      <w:r>
        <w:rPr>
          <w:rFonts w:ascii="Calibri" w:hAnsi="Calibri"/>
          <w:b/>
          <w:color w:val="525866"/>
          <w:sz w:val="22"/>
        </w:rPr>
        <w:t>Stable Mid-Single-Digit U.S. Revenue Growth Expected Starting 2027.</w:t>
      </w:r>
      <w:r>
        <w:rPr>
          <w:rFonts w:ascii="Calibri" w:hAnsi="Calibri"/>
          <w:color w:val="525866"/>
          <w:sz w:val="22"/>
        </w:rPr>
        <w:t xml:space="preserve"> AMT guided to 'stable mid-single-digit organic tenant billings growth' in the U.S. beginning in 2027, with 2026 still impacted by DISH churn. Excluding DISH, 2026 U.S. growth would be 'in the mid-4%, 4.5%.' </w:t>
      </w:r>
      <w:r>
        <w:rPr>
          <w:rFonts w:ascii="Calibri" w:hAnsi="Calibri"/>
          <w:b/>
          <w:color w:val="525866"/>
          <w:sz w:val="22"/>
        </w:rPr>
        <w:t xml:space="preserve">CCI Read-Through: </w:t>
      </w:r>
      <w:r>
        <w:rPr>
          <w:rFonts w:ascii="Calibri" w:hAnsi="Calibri"/>
          <w:color w:val="525866"/>
          <w:sz w:val="22"/>
        </w:rPr>
        <w:t>CCI's 3.5% ex-DISH/Sprint organic growth guide for FY 2026 is slightly below AMT's ex-DISH run-rate, consistent with CCI's urban/suburban portfolio mix driving earlier-cycle activity. The 2027 acceleration thesis is shared across both companies.</w:t>
      </w:r>
    </w:p>
    <w:p>
      <w:pPr>
        <w:pStyle w:val="ListBullet"/>
        <w:ind w:left="360" w:hanging="360"/>
      </w:pPr>
      <w:r>
        <w:rPr>
          <w:rFonts w:ascii="Calibri" w:hAnsi="Calibri"/>
          <w:b/>
          <w:color w:val="525866"/>
          <w:sz w:val="22"/>
        </w:rPr>
        <w:t>5G Networks at 'Tail End of Rollout'; AI and 6G Are Next Waves.</w:t>
      </w:r>
      <w:r>
        <w:rPr>
          <w:rFonts w:ascii="Calibri" w:hAnsi="Calibri"/>
          <w:color w:val="525866"/>
          <w:sz w:val="22"/>
        </w:rPr>
        <w:t xml:space="preserve"> AMT CFO noted carriers are 'at the tail end of rolling out 5G networks' and that '5G applications are still on the move' with AI workloads and 6G as the next demand catalysts. Uplink/downlink symmetry requirements will necessitate 'more antennas and lines in the towers and more compute-type equipment.' </w:t>
      </w:r>
      <w:r>
        <w:rPr>
          <w:rFonts w:ascii="Calibri" w:hAnsi="Calibri"/>
          <w:b/>
          <w:color w:val="525866"/>
          <w:sz w:val="22"/>
        </w:rPr>
        <w:t xml:space="preserve">CCI Read-Through: </w:t>
      </w:r>
      <w:r>
        <w:rPr>
          <w:rFonts w:ascii="Calibri" w:hAnsi="Calibri"/>
          <w:color w:val="525866"/>
          <w:sz w:val="22"/>
        </w:rPr>
        <w:t>Consistent with CCI's multi-year growth narrative; the 800 MHz spectrum auction starting 2027 and 6G cycle are shared tailwinds. No near-term Q2 demand risk implied.</w:t>
      </w:r>
    </w:p>
    <w:p>
      <w:pPr>
        <w:pStyle w:val="ListBullet"/>
        <w:ind w:left="360" w:hanging="360"/>
      </w:pPr>
      <w:r>
        <w:rPr>
          <w:rFonts w:ascii="Calibri" w:hAnsi="Calibri"/>
          <w:b/>
          <w:color w:val="525866"/>
          <w:sz w:val="22"/>
        </w:rPr>
        <w:t>Three Financially Healthy Carriers Investing Billions Annually.</w:t>
      </w:r>
      <w:r>
        <w:rPr>
          <w:rFonts w:ascii="Calibri" w:hAnsi="Calibri"/>
          <w:color w:val="525866"/>
          <w:sz w:val="22"/>
        </w:rPr>
        <w:t xml:space="preserve"> AMT described the U.S. market backdrop as 'fantastic' with '3 financially healthy carriers all putting billions of dollars into the networks on an annual basis.' </w:t>
      </w:r>
      <w:r>
        <w:rPr>
          <w:rFonts w:ascii="Calibri" w:hAnsi="Calibri"/>
          <w:b/>
          <w:color w:val="525866"/>
          <w:sz w:val="22"/>
        </w:rPr>
        <w:t xml:space="preserve">CCI Read-Through: </w:t>
      </w:r>
      <w:r>
        <w:rPr>
          <w:rFonts w:ascii="Calibri" w:hAnsi="Calibri"/>
          <w:color w:val="525866"/>
          <w:sz w:val="22"/>
        </w:rPr>
        <w:t>Reduces risk of a Q2 carrier spending slowdown; all three major customers (AT&amp;T, Verizon, T-Mobile) are actively investing, which should support CCI's leasing activity.</w:t>
      </w:r>
    </w:p>
    <w:p>
      <w:pPr>
        <w:pStyle w:val="Heading3"/>
      </w:pPr>
      <w:r>
        <w:rPr>
          <w:rFonts w:ascii="Calibri" w:hAnsi="Calibri"/>
          <w:b/>
          <w:color w:val="3B4259"/>
          <w:sz w:val="24"/>
        </w:rPr>
        <w:t>American Tower (AMT) — Moffett Nathanson Media, Internet &amp; Communications Conference (May 14, 2026)</w:t>
      </w:r>
    </w:p>
    <w:p>
      <w:r>
        <w:rPr>
          <w:rFonts w:ascii="Calibri" w:hAnsi="Calibri"/>
          <w:b/>
          <w:color w:val="525866"/>
          <w:sz w:val="22"/>
        </w:rPr>
        <w:t xml:space="preserve">Relevance to CCI Q2: </w:t>
      </w:r>
      <w:r>
        <w:rPr>
          <w:rFonts w:ascii="Calibri" w:hAnsi="Calibri"/>
          <w:color w:val="525866"/>
          <w:sz w:val="22"/>
        </w:rPr>
        <w:t>Medium-High. AMT CFO provided additional color on U.S. organic growth, spectrum deployment, and DISH litigation that is directly relevant to CCI's Q2 setup.</w:t>
      </w:r>
    </w:p>
    <w:p>
      <w:pPr>
        <w:pStyle w:val="ListBullet"/>
        <w:ind w:left="360" w:hanging="360"/>
      </w:pPr>
      <w:r>
        <w:rPr>
          <w:rFonts w:ascii="Calibri" w:hAnsi="Calibri"/>
          <w:b/>
          <w:color w:val="525866"/>
          <w:sz w:val="22"/>
        </w:rPr>
        <w:t>U.S. Organic Growth Ex-DISH Running at 'Mid-4%, 4.5%' in 2026.</w:t>
      </w:r>
      <w:r>
        <w:rPr>
          <w:rFonts w:ascii="Calibri" w:hAnsi="Calibri"/>
          <w:color w:val="525866"/>
          <w:sz w:val="22"/>
        </w:rPr>
        <w:t xml:space="preserve"> AMT CFO confirmed that excluding DISH churn, the underlying U.S. run-rate business from the three large carriers has 'been very consistent in delivering mid-single-digit revenue growth.' </w:t>
      </w:r>
      <w:r>
        <w:rPr>
          <w:rFonts w:ascii="Calibri" w:hAnsi="Calibri"/>
          <w:b/>
          <w:color w:val="525866"/>
          <w:sz w:val="22"/>
        </w:rPr>
        <w:t xml:space="preserve">CCI Read-Through: </w:t>
      </w:r>
      <w:r>
        <w:rPr>
          <w:rFonts w:ascii="Calibri" w:hAnsi="Calibri"/>
          <w:color w:val="525866"/>
          <w:sz w:val="22"/>
        </w:rPr>
        <w:t>Provides a benchmark for CCI's ex-DISH/Sprint organic growth; CCI's 3.5% guide is modestly below AMT's ex-DISH run-rate, which management attributed to cycle timing rather than structural differences.</w:t>
      </w:r>
    </w:p>
    <w:p>
      <w:pPr>
        <w:pStyle w:val="ListBullet"/>
        <w:ind w:left="360" w:hanging="360"/>
      </w:pPr>
      <w:r>
        <w:rPr>
          <w:rFonts w:ascii="Calibri" w:hAnsi="Calibri"/>
          <w:b/>
          <w:color w:val="525866"/>
          <w:sz w:val="22"/>
        </w:rPr>
        <w:t>Spectrum Deployment: Upper C-Band Auction in First Half 2027 is Key Catalyst.</w:t>
      </w:r>
      <w:r>
        <w:rPr>
          <w:rFonts w:ascii="Calibri" w:hAnsi="Calibri"/>
          <w:color w:val="525866"/>
          <w:sz w:val="22"/>
        </w:rPr>
        <w:t xml:space="preserve"> AMT highlighted the upcoming upper C-band auction (mandated by law for H1 2027) as a significant tower demand catalyst, requiring 'additional equipment on the cell site' and 'much of it is going to require new equipment.' FCC approval of the DISH spectrum transfer viewed as 'a good thing' because 'the sooner they get it, the faster they'll deploy it and the quicker that brings us to a new revenue event.' </w:t>
      </w:r>
      <w:r>
        <w:rPr>
          <w:rFonts w:ascii="Calibri" w:hAnsi="Calibri"/>
          <w:b/>
          <w:color w:val="525866"/>
          <w:sz w:val="22"/>
        </w:rPr>
        <w:t xml:space="preserve">CCI Read-Through: </w:t>
      </w:r>
      <w:r>
        <w:rPr>
          <w:rFonts w:ascii="Calibri" w:hAnsi="Calibri"/>
          <w:color w:val="525866"/>
          <w:sz w:val="22"/>
        </w:rPr>
        <w:t>The spectrum auction pipeline is a shared tailwind; AMT's positive framing of the DISH spectrum transfer (faster deployment = faster revenue event) is relevant context for CCI's DISH litigation discussion.</w:t>
      </w:r>
    </w:p>
    <w:p>
      <w:pPr>
        <w:pStyle w:val="ListBullet"/>
        <w:ind w:left="360" w:hanging="360"/>
      </w:pPr>
      <w:r>
        <w:rPr>
          <w:rFonts w:ascii="Calibri" w:hAnsi="Calibri"/>
          <w:b/>
          <w:color w:val="525866"/>
          <w:sz w:val="22"/>
        </w:rPr>
        <w:t>DISH Litigation: AMT Pursuing Regardless of FCC Actions.</w:t>
      </w:r>
      <w:r>
        <w:rPr>
          <w:rFonts w:ascii="Calibri" w:hAnsi="Calibri"/>
          <w:color w:val="525866"/>
          <w:sz w:val="22"/>
        </w:rPr>
        <w:t xml:space="preserve"> AMT confirmed it has filed litigation to force DISH to honor contractual commitments and that 'this pursuit continues regardless of spectrum transfer and any other FCC actions.' The EchoStar trust fund is 'better than if it's not there' but 'in no way does it limit what we would expect the court system to do.' </w:t>
      </w:r>
      <w:r>
        <w:rPr>
          <w:rFonts w:ascii="Calibri" w:hAnsi="Calibri"/>
          <w:b/>
          <w:color w:val="525866"/>
          <w:sz w:val="22"/>
        </w:rPr>
        <w:t xml:space="preserve">CCI Read-Through: </w:t>
      </w:r>
      <w:r>
        <w:rPr>
          <w:rFonts w:ascii="Calibri" w:hAnsi="Calibri"/>
          <w:color w:val="525866"/>
          <w:sz w:val="22"/>
        </w:rPr>
        <w:t>Validates CCI's aggressive litigation posture; both companies are pursuing parallel legal strategies. AMT's framing of the trust fund as a floor (not a cap) is consistent with CCI management's 'floor' language at Nareit.</w:t>
      </w:r>
    </w:p>
    <w:p>
      <w:pPr>
        <w:pStyle w:val="Heading3"/>
      </w:pPr>
      <w:r>
        <w:rPr>
          <w:rFonts w:ascii="Calibri" w:hAnsi="Calibri"/>
          <w:b/>
          <w:color w:val="3B4259"/>
          <w:sz w:val="24"/>
        </w:rPr>
        <w:t>SBA Communications (SBAC) — JP Morgan Global Technology, Media &amp; Communications Conference (May 18, 2026)</w:t>
      </w:r>
    </w:p>
    <w:p>
      <w:r>
        <w:rPr>
          <w:rFonts w:ascii="Calibri" w:hAnsi="Calibri"/>
          <w:b/>
          <w:color w:val="525866"/>
          <w:sz w:val="22"/>
        </w:rPr>
        <w:t xml:space="preserve">Relevance to CCI Q2: </w:t>
      </w:r>
      <w:r>
        <w:rPr>
          <w:rFonts w:ascii="Calibri" w:hAnsi="Calibri"/>
          <w:color w:val="525866"/>
          <w:sz w:val="22"/>
        </w:rPr>
        <w:t>Medium. SBAC is a U.S.-focused tower peer (though with significant international exposure). CFO Marc Montagner's commentary on U.S. carrier activity, Verizon's increased spending, and T-Mobile's step-down is particularly relevant for CCI's Q2 leasing mix.</w:t>
      </w:r>
    </w:p>
    <w:p>
      <w:pPr>
        <w:pStyle w:val="ListBullet"/>
        <w:ind w:left="360" w:hanging="360"/>
      </w:pPr>
      <w:r>
        <w:rPr>
          <w:rFonts w:ascii="Calibri" w:hAnsi="Calibri"/>
          <w:b/>
          <w:color w:val="525866"/>
          <w:sz w:val="22"/>
        </w:rPr>
        <w:t>Verizon is SBAC's Most Active Carrier in 2026; T-Mobile Stepped Down.</w:t>
      </w:r>
      <w:r>
        <w:rPr>
          <w:rFonts w:ascii="Calibri" w:hAnsi="Calibri"/>
          <w:color w:val="525866"/>
          <w:sz w:val="22"/>
        </w:rPr>
        <w:t xml:space="preserve"> SBAC CFO stated that T-Mobile 'was our most active carrier last year' but 'they've stepped down this year.' Verizon, following a new 10-year MLA signed in November 2025, is now 'going to be our most active carrier customer this year.' AT&amp;T signed an MLA in 2023 valid until mid-2028 but has shown 'no business' activity. </w:t>
      </w:r>
      <w:r>
        <w:rPr>
          <w:rFonts w:ascii="Calibri" w:hAnsi="Calibri"/>
          <w:b/>
          <w:color w:val="525866"/>
          <w:sz w:val="22"/>
        </w:rPr>
        <w:t xml:space="preserve">CCI Read-Through: </w:t>
      </w:r>
      <w:r>
        <w:rPr>
          <w:rFonts w:ascii="Calibri" w:hAnsi="Calibri"/>
          <w:color w:val="525866"/>
          <w:sz w:val="22"/>
        </w:rPr>
        <w:t>The carrier mix shift (Verizon up, T-Mobile down, AT&amp;T quiet) is a direct read-through for CCI's Q2 leasing activity. CCI's portfolio skews urban/suburban, which may benefit from Verizon's densification push. AT&amp;T's inactivity is a potential headwind to watch.</w:t>
      </w:r>
    </w:p>
    <w:p>
      <w:pPr>
        <w:pStyle w:val="ListBullet"/>
        <w:ind w:left="360" w:hanging="360"/>
      </w:pPr>
      <w:r>
        <w:rPr>
          <w:rFonts w:ascii="Calibri" w:hAnsi="Calibri"/>
          <w:b/>
          <w:color w:val="525866"/>
          <w:sz w:val="22"/>
        </w:rPr>
        <w:t>Long-Term U.S. Growth Rate of 4.5%–5% Underpinned by 3-Carrier Market.</w:t>
      </w:r>
      <w:r>
        <w:rPr>
          <w:rFonts w:ascii="Calibri" w:hAnsi="Calibri"/>
          <w:color w:val="525866"/>
          <w:sz w:val="22"/>
        </w:rPr>
        <w:t xml:space="preserve"> SBAC's long-term U.S. growth model is '3% escalators + 2.5–3% new lease activity − 1% churn (ex-DISH/Sprint)' = 4.5–5%. This assumes a 3-carrier market and 'doesn't take into account new use cases' which could drive upside. </w:t>
      </w:r>
      <w:r>
        <w:rPr>
          <w:rFonts w:ascii="Calibri" w:hAnsi="Calibri"/>
          <w:b/>
          <w:color w:val="525866"/>
          <w:sz w:val="22"/>
        </w:rPr>
        <w:t xml:space="preserve">CCI Read-Through: </w:t>
      </w:r>
      <w:r>
        <w:rPr>
          <w:rFonts w:ascii="Calibri" w:hAnsi="Calibri"/>
          <w:color w:val="525866"/>
          <w:sz w:val="22"/>
        </w:rPr>
        <w:t>SBAC's 4.5–5% long-term U.S. growth target is above CCI's 3.5% ex-DISH/Sprint guide for 2026, but CCI management has characterized 3.5% as the trough with acceleration expected. The structural 4.5–5% framework validates CCI's medium-term growth algorithm.</w:t>
      </w:r>
    </w:p>
    <w:p>
      <w:pPr>
        <w:pStyle w:val="ListBullet"/>
        <w:ind w:left="360" w:hanging="360"/>
      </w:pPr>
      <w:r>
        <w:rPr>
          <w:rFonts w:ascii="Calibri" w:hAnsi="Calibri"/>
          <w:b/>
          <w:color w:val="525866"/>
          <w:sz w:val="22"/>
        </w:rPr>
        <w:t>Carriers in 'Harvest Mode' in 2026; Next-Gen Spending Cycle Ahead.</w:t>
      </w:r>
      <w:r>
        <w:rPr>
          <w:rFonts w:ascii="Calibri" w:hAnsi="Calibri"/>
          <w:color w:val="525866"/>
          <w:sz w:val="22"/>
        </w:rPr>
        <w:t xml:space="preserve"> SBAC CFO noted that '2022–2023 was the peak of 5G deployment' and carriers are currently in 'harvest mode, repairing balance sheets and buying back shares.' However, 'at some point, they are going to have to spend money on next gen' which will 'drive lease-up, more colos, more densification, more coverage.' </w:t>
      </w:r>
      <w:r>
        <w:rPr>
          <w:rFonts w:ascii="Calibri" w:hAnsi="Calibri"/>
          <w:b/>
          <w:color w:val="525866"/>
          <w:sz w:val="22"/>
        </w:rPr>
        <w:t xml:space="preserve">CCI Read-Through: </w:t>
      </w:r>
      <w:r>
        <w:rPr>
          <w:rFonts w:ascii="Calibri" w:hAnsi="Calibri"/>
          <w:color w:val="525866"/>
          <w:sz w:val="22"/>
        </w:rPr>
        <w:t>The 'harvest mode' characterization is consistent with CCI's 2026 trough narrative; the next-gen spending cycle (6G, upper C-band) is the shared catalyst for 2027+ acceleration. No near-term Q2 demand surprise implied.</w:t>
      </w:r>
    </w:p>
    <w:p>
      <w:pPr>
        <w:pStyle w:val="ListBullet"/>
        <w:ind w:left="360" w:hanging="360"/>
      </w:pPr>
      <w:r>
        <w:rPr>
          <w:rFonts w:ascii="Calibri" w:hAnsi="Calibri"/>
          <w:b/>
          <w:color w:val="525866"/>
          <w:sz w:val="22"/>
        </w:rPr>
        <w:t>Fixed Wireless Access (FWA) Driving Densification Demand.</w:t>
      </w:r>
      <w:r>
        <w:rPr>
          <w:rFonts w:ascii="Calibri" w:hAnsi="Calibri"/>
          <w:color w:val="525866"/>
          <w:sz w:val="22"/>
        </w:rPr>
        <w:t xml:space="preserve"> SBAC highlighted 15 million FWA customers in the U.S. consuming '50% of the tonnage, 15% of the capacity on wireless networks today,' with the industry expected to add another 10 million FWA customers in 2026. This is forcing carriers to 'build more colos, more densification.' </w:t>
      </w:r>
      <w:r>
        <w:rPr>
          <w:rFonts w:ascii="Calibri" w:hAnsi="Calibri"/>
          <w:b/>
          <w:color w:val="525866"/>
          <w:sz w:val="22"/>
        </w:rPr>
        <w:t xml:space="preserve">CCI Read-Through: </w:t>
      </w:r>
      <w:r>
        <w:rPr>
          <w:rFonts w:ascii="Calibri" w:hAnsi="Calibri"/>
          <w:color w:val="525866"/>
          <w:sz w:val="22"/>
        </w:rPr>
        <w:t>FWA-driven densification is a positive demand driver for CCI's urban/suburban tower portfolio; this is an incremental tailwind not fully reflected in current organic growth estimates.</w:t>
      </w:r>
    </w:p>
    <w:p>
      <w:pPr>
        <w:pStyle w:val="ListBullet"/>
        <w:ind w:left="360" w:hanging="360"/>
      </w:pPr>
      <w:r>
        <w:rPr>
          <w:rFonts w:ascii="Calibri" w:hAnsi="Calibri"/>
          <w:b/>
          <w:color w:val="525866"/>
          <w:sz w:val="22"/>
        </w:rPr>
        <w:t>SBAC's DISH Exposure is ~$100M (Unpaid + Future Commitments); Short-Term Leases Only.</w:t>
      </w:r>
      <w:r>
        <w:rPr>
          <w:rFonts w:ascii="Calibri" w:hAnsi="Calibri"/>
          <w:color w:val="525866"/>
          <w:sz w:val="22"/>
        </w:rPr>
        <w:t xml:space="preserve"> SBAC CFO stated DISH exposure is 'about $100 million' in unpaid and future lease commitments, with 'only short-term leases with DISH and no lease-up planned for this year.' </w:t>
      </w:r>
      <w:r>
        <w:rPr>
          <w:rFonts w:ascii="Calibri" w:hAnsi="Calibri"/>
          <w:b/>
          <w:color w:val="525866"/>
          <w:sz w:val="22"/>
        </w:rPr>
        <w:t xml:space="preserve">CCI Read-Through: </w:t>
      </w:r>
      <w:r>
        <w:rPr>
          <w:rFonts w:ascii="Calibri" w:hAnsi="Calibri"/>
          <w:color w:val="525866"/>
          <w:sz w:val="22"/>
        </w:rPr>
        <w:t>SBAC's much smaller DISH exposure ($100M vs. CCI's &gt;$3.5B claim) highlights CCI's unique litigation risk/opportunity. SBAC's limited exposure means its results are a cleaner read on underlying tower demand without the DISH noise.</w:t>
      </w:r>
    </w:p>
    <w:p>
      <w:pPr>
        <w:pStyle w:val="ListBullet"/>
        <w:ind w:left="360" w:hanging="360"/>
      </w:pPr>
      <w:r>
        <w:rPr>
          <w:rFonts w:ascii="Calibri" w:hAnsi="Calibri"/>
          <w:b/>
          <w:color w:val="525866"/>
          <w:sz w:val="22"/>
        </w:rPr>
        <w:t>Build-to-Suit Dialogue Shifting; New Tower Economics Improving.</w:t>
      </w:r>
      <w:r>
        <w:rPr>
          <w:rFonts w:ascii="Calibri" w:hAnsi="Calibri"/>
          <w:color w:val="525866"/>
          <w:sz w:val="22"/>
        </w:rPr>
        <w:t xml:space="preserve"> SBAC CFO noted that historically 'the rates that the big 3 carriers were offering for new BTS were not attractive' but 'it looks like the dialogue is shifting a little bit and those conversations are happening again.' SBAC is 'more than willing to do our share and build for the right return.' </w:t>
      </w:r>
      <w:r>
        <w:rPr>
          <w:rFonts w:ascii="Calibri" w:hAnsi="Calibri"/>
          <w:b/>
          <w:color w:val="525866"/>
          <w:sz w:val="22"/>
        </w:rPr>
        <w:t xml:space="preserve">CCI Read-Through: </w:t>
      </w:r>
      <w:r>
        <w:rPr>
          <w:rFonts w:ascii="Calibri" w:hAnsi="Calibri"/>
          <w:color w:val="525866"/>
          <w:sz w:val="22"/>
        </w:rPr>
        <w:t>Validates CCI's disciplined new tower build strategy (requiring 2+ anchor tenants); the improving BTS dialogue is a positive signal for CCI's emerging new tower build pipeline discussed at Nareit.</w:t>
      </w:r>
    </w:p>
    <w:p>
      <w:r>
        <w:rPr>
          <w:rFonts w:ascii="Calibri" w:hAnsi="Calibri"/>
          <w:b/>
          <w:color w:val="525866"/>
          <w:sz w:val="22"/>
        </w:rPr>
        <w:t xml:space="preserve">Overall Peer Read-Through Summary: </w:t>
      </w:r>
      <w:r>
        <w:rPr>
          <w:rFonts w:ascii="Calibri" w:hAnsi="Calibri"/>
          <w:color w:val="525866"/>
          <w:sz w:val="22"/>
        </w:rPr>
        <w:t xml:space="preserve">The collective AMT and SBAC commentary from May–June 2026 is </w:t>
      </w:r>
      <w:r>
        <w:rPr>
          <w:rFonts w:ascii="Calibri" w:hAnsi="Calibri"/>
          <w:b/>
          <w:color w:val="525866"/>
          <w:sz w:val="22"/>
        </w:rPr>
        <w:t>net positive for CCI's Q2 setup</w:t>
      </w:r>
      <w:r>
        <w:rPr>
          <w:rFonts w:ascii="Calibri" w:hAnsi="Calibri"/>
          <w:color w:val="525866"/>
          <w:sz w:val="22"/>
        </w:rPr>
        <w:t>. Key takeaways: (1) U.S. carrier demand is healthy and stable, with Verizon the most active spender in 2026; (2) DISH churn is fully reflected in run-rates across the sector; (3) 2026 is broadly characterized as a trough year with 2027+ acceleration driven by spectrum auctions, 6G, and AI; (4) the FCC DISH set-aside is viewed as a floor, not a cap, for litigation recovery; (5) edge compute and new tower builds are emerging opportunities that validate CCI's strategic initiatives. The one watch item is AT&amp;T's relative inactivity (per SBAC), which could be a modest headwind to CCI's Q2 leasing mix given CCI's urban portfolio skew.</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